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31" w:rsidRPr="003B7C47" w:rsidRDefault="00134B31" w:rsidP="00134B31">
      <w:pPr>
        <w:snapToGrid w:val="0"/>
        <w:ind w:left="685" w:hangingChars="214" w:hanging="685"/>
        <w:jc w:val="center"/>
        <w:outlineLvl w:val="1"/>
        <w:rPr>
          <w:rFonts w:ascii="標楷體" w:eastAsia="標楷體" w:hAnsi="標楷體"/>
          <w:b/>
          <w:sz w:val="32"/>
          <w:szCs w:val="32"/>
        </w:rPr>
      </w:pPr>
      <w:bookmarkStart w:id="0" w:name="_Toc318991350"/>
      <w:bookmarkStart w:id="1" w:name="_Toc320035409"/>
      <w:r>
        <w:rPr>
          <w:rFonts w:ascii="標楷體" w:eastAsia="標楷體" w:hAnsi="標楷體"/>
          <w:b/>
          <w:sz w:val="32"/>
          <w:szCs w:val="32"/>
        </w:rPr>
        <w:t>臺北市立大學</w:t>
      </w:r>
      <w:r>
        <w:rPr>
          <w:rFonts w:ascii="標楷體" w:eastAsia="標楷體" w:hAnsi="標楷體" w:hint="eastAsia"/>
          <w:b/>
          <w:sz w:val="32"/>
          <w:szCs w:val="32"/>
        </w:rPr>
        <w:t>通識教育</w:t>
      </w:r>
      <w:r w:rsidRPr="002769F2">
        <w:rPr>
          <w:rFonts w:ascii="標楷體" w:eastAsia="標楷體" w:hAnsi="標楷體"/>
          <w:b/>
          <w:sz w:val="32"/>
          <w:szCs w:val="32"/>
        </w:rPr>
        <w:t>中心教師聘任</w:t>
      </w:r>
      <w:r>
        <w:rPr>
          <w:rFonts w:ascii="標楷體" w:eastAsia="標楷體" w:hAnsi="標楷體" w:hint="eastAsia"/>
          <w:b/>
          <w:sz w:val="32"/>
          <w:szCs w:val="32"/>
        </w:rPr>
        <w:t>及</w:t>
      </w:r>
      <w:r w:rsidRPr="002769F2">
        <w:rPr>
          <w:rFonts w:ascii="標楷體" w:eastAsia="標楷體" w:hAnsi="標楷體"/>
          <w:b/>
          <w:sz w:val="32"/>
          <w:szCs w:val="32"/>
        </w:rPr>
        <w:t>升等</w:t>
      </w:r>
      <w:bookmarkEnd w:id="0"/>
      <w:bookmarkEnd w:id="1"/>
      <w:r>
        <w:rPr>
          <w:rFonts w:ascii="標楷體" w:eastAsia="標楷體" w:hAnsi="標楷體" w:hint="eastAsia"/>
          <w:b/>
          <w:sz w:val="32"/>
          <w:szCs w:val="32"/>
        </w:rPr>
        <w:t>審查要</w:t>
      </w:r>
      <w:r w:rsidRPr="003B7C47">
        <w:rPr>
          <w:rFonts w:ascii="標楷體" w:eastAsia="標楷體" w:hAnsi="標楷體" w:hint="eastAsia"/>
          <w:b/>
          <w:sz w:val="32"/>
          <w:szCs w:val="32"/>
        </w:rPr>
        <w:t>點</w:t>
      </w:r>
    </w:p>
    <w:p w:rsidR="00134B31" w:rsidRDefault="00134B31" w:rsidP="00134B31">
      <w:pPr>
        <w:autoSpaceDE w:val="0"/>
        <w:autoSpaceDN w:val="0"/>
        <w:adjustRightInd w:val="0"/>
        <w:snapToGrid w:val="0"/>
        <w:spacing w:line="240" w:lineRule="exact"/>
        <w:ind w:right="-23"/>
        <w:jc w:val="right"/>
        <w:rPr>
          <w:rFonts w:eastAsia="標楷體" w:hAnsi="標楷體"/>
          <w:w w:val="101"/>
          <w:kern w:val="0"/>
          <w:sz w:val="20"/>
          <w:szCs w:val="20"/>
        </w:rPr>
      </w:pPr>
      <w:bookmarkStart w:id="2" w:name="OLE_LINK3"/>
      <w:r>
        <w:rPr>
          <w:rFonts w:eastAsia="標楷體" w:hAnsi="標楷體" w:hint="eastAsia"/>
          <w:w w:val="101"/>
          <w:kern w:val="0"/>
          <w:sz w:val="20"/>
          <w:szCs w:val="20"/>
        </w:rPr>
        <w:t>104</w:t>
      </w:r>
      <w:r w:rsidRPr="003B7C47">
        <w:rPr>
          <w:rFonts w:eastAsia="標楷體" w:hAnsi="標楷體"/>
          <w:w w:val="101"/>
          <w:kern w:val="0"/>
          <w:sz w:val="20"/>
          <w:szCs w:val="20"/>
        </w:rPr>
        <w:t>年</w:t>
      </w:r>
      <w:r>
        <w:rPr>
          <w:rFonts w:eastAsia="標楷體" w:hAnsi="標楷體" w:hint="eastAsia"/>
          <w:w w:val="101"/>
          <w:kern w:val="0"/>
          <w:sz w:val="20"/>
          <w:szCs w:val="20"/>
        </w:rPr>
        <w:t>11</w:t>
      </w:r>
      <w:r w:rsidRPr="003B7C47">
        <w:rPr>
          <w:rFonts w:eastAsia="標楷體" w:hAnsi="標楷體"/>
          <w:w w:val="101"/>
          <w:kern w:val="0"/>
          <w:sz w:val="20"/>
          <w:szCs w:val="20"/>
        </w:rPr>
        <w:t>月</w:t>
      </w:r>
      <w:r>
        <w:rPr>
          <w:rFonts w:eastAsia="標楷體" w:hAnsi="標楷體" w:hint="eastAsia"/>
          <w:w w:val="101"/>
          <w:kern w:val="0"/>
          <w:sz w:val="20"/>
          <w:szCs w:val="20"/>
        </w:rPr>
        <w:t>3</w:t>
      </w:r>
      <w:r w:rsidRPr="003B7C47">
        <w:rPr>
          <w:rFonts w:eastAsia="標楷體" w:hAnsi="標楷體"/>
          <w:w w:val="101"/>
          <w:kern w:val="0"/>
          <w:sz w:val="20"/>
          <w:szCs w:val="20"/>
        </w:rPr>
        <w:t>日</w:t>
      </w:r>
      <w:r>
        <w:rPr>
          <w:rFonts w:eastAsia="標楷體" w:hAnsi="標楷體" w:hint="eastAsia"/>
          <w:w w:val="101"/>
          <w:kern w:val="0"/>
          <w:sz w:val="20"/>
          <w:szCs w:val="20"/>
        </w:rPr>
        <w:t>104</w:t>
      </w:r>
      <w:r w:rsidRPr="003B7C47">
        <w:rPr>
          <w:rFonts w:eastAsia="標楷體" w:hAnsi="標楷體"/>
          <w:w w:val="101"/>
          <w:kern w:val="0"/>
          <w:sz w:val="20"/>
          <w:szCs w:val="20"/>
        </w:rPr>
        <w:t>學年度第</w:t>
      </w:r>
      <w:r>
        <w:rPr>
          <w:rFonts w:eastAsia="標楷體" w:hAnsi="標楷體" w:hint="eastAsia"/>
          <w:w w:val="101"/>
          <w:kern w:val="0"/>
          <w:sz w:val="20"/>
          <w:szCs w:val="20"/>
        </w:rPr>
        <w:t>17</w:t>
      </w:r>
      <w:r w:rsidRPr="003B7C47">
        <w:rPr>
          <w:rFonts w:eastAsia="標楷體" w:hAnsi="標楷體"/>
          <w:w w:val="101"/>
          <w:kern w:val="0"/>
          <w:sz w:val="20"/>
          <w:szCs w:val="20"/>
        </w:rPr>
        <w:t>次中心會議通過</w:t>
      </w:r>
      <w:bookmarkEnd w:id="2"/>
    </w:p>
    <w:p w:rsidR="00134B31" w:rsidRDefault="00134B31" w:rsidP="00134B31">
      <w:pPr>
        <w:wordWrap w:val="0"/>
        <w:autoSpaceDE w:val="0"/>
        <w:autoSpaceDN w:val="0"/>
        <w:adjustRightInd w:val="0"/>
        <w:snapToGrid w:val="0"/>
        <w:spacing w:line="240" w:lineRule="exact"/>
        <w:ind w:right="-23"/>
        <w:jc w:val="right"/>
        <w:rPr>
          <w:rFonts w:eastAsia="標楷體" w:hAnsi="標楷體"/>
          <w:w w:val="101"/>
          <w:kern w:val="0"/>
          <w:sz w:val="20"/>
          <w:szCs w:val="20"/>
        </w:rPr>
      </w:pPr>
      <w:bookmarkStart w:id="3" w:name="OLE_LINK64"/>
      <w:bookmarkStart w:id="4" w:name="OLE_LINK65"/>
      <w:bookmarkStart w:id="5" w:name="OLE_LINK66"/>
      <w:bookmarkStart w:id="6" w:name="OLE_LINK67"/>
      <w:r>
        <w:rPr>
          <w:rFonts w:eastAsia="標楷體" w:hAnsi="標楷體" w:hint="eastAsia"/>
          <w:w w:val="101"/>
          <w:kern w:val="0"/>
          <w:sz w:val="20"/>
          <w:szCs w:val="20"/>
        </w:rPr>
        <w:t>104</w:t>
      </w:r>
      <w:r w:rsidRPr="003B7C47">
        <w:rPr>
          <w:rFonts w:eastAsia="標楷體" w:hAnsi="標楷體"/>
          <w:w w:val="101"/>
          <w:kern w:val="0"/>
          <w:sz w:val="20"/>
          <w:szCs w:val="20"/>
        </w:rPr>
        <w:t>年</w:t>
      </w:r>
      <w:r>
        <w:rPr>
          <w:rFonts w:eastAsia="標楷體" w:hAnsi="標楷體" w:hint="eastAsia"/>
          <w:w w:val="101"/>
          <w:kern w:val="0"/>
          <w:sz w:val="20"/>
          <w:szCs w:val="20"/>
        </w:rPr>
        <w:t>11</w:t>
      </w:r>
      <w:r w:rsidRPr="003B7C47">
        <w:rPr>
          <w:rFonts w:eastAsia="標楷體" w:hAnsi="標楷體"/>
          <w:w w:val="101"/>
          <w:kern w:val="0"/>
          <w:sz w:val="20"/>
          <w:szCs w:val="20"/>
        </w:rPr>
        <w:t>月</w:t>
      </w:r>
      <w:r>
        <w:rPr>
          <w:rFonts w:eastAsia="標楷體" w:hAnsi="標楷體"/>
          <w:w w:val="101"/>
          <w:kern w:val="0"/>
          <w:sz w:val="20"/>
          <w:szCs w:val="20"/>
        </w:rPr>
        <w:t>17</w:t>
      </w:r>
      <w:r w:rsidRPr="003B7C47">
        <w:rPr>
          <w:rFonts w:eastAsia="標楷體" w:hAnsi="標楷體"/>
          <w:w w:val="101"/>
          <w:kern w:val="0"/>
          <w:sz w:val="20"/>
          <w:szCs w:val="20"/>
        </w:rPr>
        <w:t>日</w:t>
      </w:r>
      <w:r>
        <w:rPr>
          <w:rFonts w:eastAsia="標楷體" w:hAnsi="標楷體" w:hint="eastAsia"/>
          <w:w w:val="101"/>
          <w:kern w:val="0"/>
          <w:sz w:val="20"/>
          <w:szCs w:val="20"/>
        </w:rPr>
        <w:t>104</w:t>
      </w:r>
      <w:r w:rsidRPr="003B7C47">
        <w:rPr>
          <w:rFonts w:eastAsia="標楷體" w:hAnsi="標楷體"/>
          <w:w w:val="101"/>
          <w:kern w:val="0"/>
          <w:sz w:val="20"/>
          <w:szCs w:val="20"/>
        </w:rPr>
        <w:t>學年度第</w:t>
      </w:r>
      <w:r>
        <w:rPr>
          <w:rFonts w:eastAsia="標楷體" w:hAnsi="標楷體" w:hint="eastAsia"/>
          <w:w w:val="101"/>
          <w:kern w:val="0"/>
          <w:sz w:val="20"/>
          <w:szCs w:val="20"/>
        </w:rPr>
        <w:t>18</w:t>
      </w:r>
      <w:r w:rsidRPr="003B7C47">
        <w:rPr>
          <w:rFonts w:eastAsia="標楷體" w:hAnsi="標楷體"/>
          <w:w w:val="101"/>
          <w:kern w:val="0"/>
          <w:sz w:val="20"/>
          <w:szCs w:val="20"/>
        </w:rPr>
        <w:t>次中心會議</w:t>
      </w:r>
      <w:r>
        <w:rPr>
          <w:rFonts w:eastAsia="標楷體" w:hAnsi="標楷體" w:hint="eastAsia"/>
          <w:w w:val="101"/>
          <w:kern w:val="0"/>
          <w:sz w:val="20"/>
          <w:szCs w:val="20"/>
        </w:rPr>
        <w:t>修訂第七點第一項第四款及第十點條文</w:t>
      </w:r>
    </w:p>
    <w:p w:rsidR="00134B31" w:rsidRPr="003B7C47" w:rsidRDefault="00134B31" w:rsidP="00134B31">
      <w:pPr>
        <w:wordWrap w:val="0"/>
        <w:autoSpaceDE w:val="0"/>
        <w:autoSpaceDN w:val="0"/>
        <w:adjustRightInd w:val="0"/>
        <w:snapToGrid w:val="0"/>
        <w:spacing w:line="240" w:lineRule="exact"/>
        <w:ind w:right="-23"/>
        <w:jc w:val="right"/>
        <w:rPr>
          <w:rFonts w:eastAsia="標楷體" w:hAnsi="標楷體"/>
          <w:w w:val="101"/>
          <w:kern w:val="0"/>
          <w:sz w:val="20"/>
          <w:szCs w:val="20"/>
        </w:rPr>
      </w:pPr>
      <w:r>
        <w:rPr>
          <w:rFonts w:eastAsia="標楷體" w:hAnsi="標楷體" w:hint="eastAsia"/>
          <w:w w:val="101"/>
          <w:kern w:val="0"/>
          <w:sz w:val="20"/>
          <w:szCs w:val="20"/>
        </w:rPr>
        <w:t>106</w:t>
      </w:r>
      <w:r w:rsidRPr="003B7C47">
        <w:rPr>
          <w:rFonts w:eastAsia="標楷體" w:hAnsi="標楷體"/>
          <w:w w:val="101"/>
          <w:kern w:val="0"/>
          <w:sz w:val="20"/>
          <w:szCs w:val="20"/>
        </w:rPr>
        <w:t>年</w:t>
      </w:r>
      <w:r w:rsidR="000531CF">
        <w:rPr>
          <w:rFonts w:eastAsia="標楷體" w:hAnsi="標楷體" w:hint="eastAsia"/>
          <w:w w:val="101"/>
          <w:kern w:val="0"/>
          <w:sz w:val="20"/>
          <w:szCs w:val="20"/>
        </w:rPr>
        <w:t>9</w:t>
      </w:r>
      <w:r w:rsidRPr="003B7C47">
        <w:rPr>
          <w:rFonts w:eastAsia="標楷體" w:hAnsi="標楷體"/>
          <w:w w:val="101"/>
          <w:kern w:val="0"/>
          <w:sz w:val="20"/>
          <w:szCs w:val="20"/>
        </w:rPr>
        <w:t>月</w:t>
      </w:r>
      <w:r w:rsidR="000531CF">
        <w:rPr>
          <w:rFonts w:eastAsia="標楷體" w:hAnsi="標楷體" w:hint="eastAsia"/>
          <w:w w:val="101"/>
          <w:kern w:val="0"/>
          <w:sz w:val="20"/>
          <w:szCs w:val="20"/>
        </w:rPr>
        <w:t>29</w:t>
      </w:r>
      <w:r w:rsidRPr="003B7C47">
        <w:rPr>
          <w:rFonts w:eastAsia="標楷體" w:hAnsi="標楷體"/>
          <w:w w:val="101"/>
          <w:kern w:val="0"/>
          <w:sz w:val="20"/>
          <w:szCs w:val="20"/>
        </w:rPr>
        <w:t>日</w:t>
      </w:r>
      <w:r>
        <w:rPr>
          <w:rFonts w:eastAsia="標楷體" w:hAnsi="標楷體" w:hint="eastAsia"/>
          <w:w w:val="101"/>
          <w:kern w:val="0"/>
          <w:sz w:val="20"/>
          <w:szCs w:val="20"/>
        </w:rPr>
        <w:t>106</w:t>
      </w:r>
      <w:r w:rsidRPr="003B7C47">
        <w:rPr>
          <w:rFonts w:eastAsia="標楷體" w:hAnsi="標楷體"/>
          <w:w w:val="101"/>
          <w:kern w:val="0"/>
          <w:sz w:val="20"/>
          <w:szCs w:val="20"/>
        </w:rPr>
        <w:t>學年度第</w:t>
      </w:r>
      <w:r w:rsidR="000531CF">
        <w:rPr>
          <w:rFonts w:eastAsia="標楷體" w:hAnsi="標楷體" w:hint="eastAsia"/>
          <w:w w:val="101"/>
          <w:kern w:val="0"/>
          <w:sz w:val="20"/>
          <w:szCs w:val="20"/>
        </w:rPr>
        <w:t>28</w:t>
      </w:r>
      <w:r w:rsidRPr="003B7C47">
        <w:rPr>
          <w:rFonts w:eastAsia="標楷體" w:hAnsi="標楷體"/>
          <w:w w:val="101"/>
          <w:kern w:val="0"/>
          <w:sz w:val="20"/>
          <w:szCs w:val="20"/>
        </w:rPr>
        <w:t>次中心會議</w:t>
      </w:r>
      <w:r>
        <w:rPr>
          <w:rFonts w:eastAsia="標楷體" w:hAnsi="標楷體" w:hint="eastAsia"/>
          <w:w w:val="101"/>
          <w:kern w:val="0"/>
          <w:sz w:val="20"/>
          <w:szCs w:val="20"/>
        </w:rPr>
        <w:t>修訂第十點條文</w:t>
      </w:r>
    </w:p>
    <w:p w:rsidR="00134B31" w:rsidRPr="0079124B" w:rsidRDefault="00134B31" w:rsidP="00134B31">
      <w:pPr>
        <w:autoSpaceDE w:val="0"/>
        <w:autoSpaceDN w:val="0"/>
        <w:adjustRightInd w:val="0"/>
        <w:snapToGrid w:val="0"/>
        <w:spacing w:line="240" w:lineRule="exact"/>
        <w:ind w:right="-23"/>
        <w:jc w:val="right"/>
        <w:rPr>
          <w:rFonts w:eastAsia="標楷體" w:hAnsi="標楷體"/>
          <w:w w:val="101"/>
          <w:kern w:val="0"/>
          <w:sz w:val="20"/>
          <w:szCs w:val="20"/>
        </w:rPr>
      </w:pPr>
    </w:p>
    <w:bookmarkEnd w:id="3"/>
    <w:bookmarkEnd w:id="4"/>
    <w:bookmarkEnd w:id="5"/>
    <w:bookmarkEnd w:id="6"/>
    <w:p w:rsidR="00134B31" w:rsidRPr="003B7C47" w:rsidRDefault="00134B31" w:rsidP="00134B31">
      <w:pPr>
        <w:numPr>
          <w:ilvl w:val="0"/>
          <w:numId w:val="4"/>
        </w:numPr>
        <w:autoSpaceDE w:val="0"/>
        <w:autoSpaceDN w:val="0"/>
        <w:adjustRightInd w:val="0"/>
        <w:spacing w:beforeLines="50" w:before="180"/>
        <w:ind w:left="731" w:hangingChars="281" w:hanging="731"/>
        <w:jc w:val="both"/>
        <w:rPr>
          <w:rFonts w:eastAsia="標楷體" w:hAnsi="標楷體"/>
          <w:kern w:val="0"/>
          <w:sz w:val="26"/>
          <w:szCs w:val="26"/>
        </w:rPr>
      </w:pPr>
      <w:r w:rsidRPr="003B7C47">
        <w:rPr>
          <w:rFonts w:eastAsia="標楷體" w:hAnsi="標楷體" w:hint="eastAsia"/>
          <w:kern w:val="0"/>
          <w:sz w:val="26"/>
          <w:szCs w:val="26"/>
        </w:rPr>
        <w:t>臺北市立大學（以下簡稱本校）通識教育中心（以下簡稱本中心）為辦理教師聘任及升等審查事宜，依據本校教師聘任與升等評審辦法及非屬</w:t>
      </w:r>
      <w:proofErr w:type="gramStart"/>
      <w:r w:rsidRPr="003B7C47">
        <w:rPr>
          <w:rFonts w:eastAsia="標楷體" w:hAnsi="標楷體" w:hint="eastAsia"/>
          <w:kern w:val="0"/>
          <w:sz w:val="26"/>
          <w:szCs w:val="26"/>
        </w:rPr>
        <w:t>系所院級</w:t>
      </w:r>
      <w:proofErr w:type="gramEnd"/>
      <w:r w:rsidRPr="003B7C47">
        <w:rPr>
          <w:rFonts w:eastAsia="標楷體" w:hAnsi="標楷體" w:hint="eastAsia"/>
          <w:kern w:val="0"/>
          <w:sz w:val="26"/>
          <w:szCs w:val="26"/>
        </w:rPr>
        <w:t>教師聘任及升等審查準則訂定本要點。</w:t>
      </w:r>
    </w:p>
    <w:p w:rsidR="00134B31" w:rsidRPr="003B7C47" w:rsidRDefault="00134B31" w:rsidP="00134B31">
      <w:pPr>
        <w:numPr>
          <w:ilvl w:val="0"/>
          <w:numId w:val="4"/>
        </w:numPr>
        <w:autoSpaceDE w:val="0"/>
        <w:autoSpaceDN w:val="0"/>
        <w:adjustRightInd w:val="0"/>
        <w:ind w:left="731" w:hangingChars="281" w:hanging="731"/>
        <w:jc w:val="both"/>
        <w:rPr>
          <w:rFonts w:eastAsia="標楷體" w:hAnsi="標楷體"/>
          <w:kern w:val="0"/>
          <w:sz w:val="26"/>
          <w:szCs w:val="26"/>
        </w:rPr>
      </w:pPr>
      <w:r w:rsidRPr="003B7C47">
        <w:rPr>
          <w:rFonts w:eastAsia="標楷體" w:hAnsi="標楷體" w:hint="eastAsia"/>
          <w:kern w:val="0"/>
          <w:sz w:val="26"/>
          <w:szCs w:val="26"/>
        </w:rPr>
        <w:t>本中心教師之新聘、續聘、長期聘任、停聘、解聘、</w:t>
      </w:r>
      <w:proofErr w:type="gramStart"/>
      <w:r w:rsidRPr="003B7C47">
        <w:rPr>
          <w:rFonts w:eastAsia="標楷體" w:hAnsi="標楷體" w:hint="eastAsia"/>
          <w:kern w:val="0"/>
          <w:sz w:val="26"/>
          <w:szCs w:val="26"/>
        </w:rPr>
        <w:t>不</w:t>
      </w:r>
      <w:proofErr w:type="gramEnd"/>
      <w:r w:rsidRPr="003B7C47">
        <w:rPr>
          <w:rFonts w:eastAsia="標楷體" w:hAnsi="標楷體" w:hint="eastAsia"/>
          <w:kern w:val="0"/>
          <w:sz w:val="26"/>
          <w:szCs w:val="26"/>
        </w:rPr>
        <w:t>續聘及升等之審議，除遵照教育部（局）及本校有關法令規定外，悉依</w:t>
      </w:r>
      <w:bookmarkStart w:id="7" w:name="_GoBack"/>
      <w:bookmarkEnd w:id="7"/>
      <w:r w:rsidRPr="003B7C47">
        <w:rPr>
          <w:rFonts w:eastAsia="標楷體" w:hAnsi="標楷體" w:hint="eastAsia"/>
          <w:kern w:val="0"/>
          <w:sz w:val="26"/>
          <w:szCs w:val="26"/>
        </w:rPr>
        <w:t>本要點辦理。</w:t>
      </w:r>
    </w:p>
    <w:p w:rsidR="00134B31" w:rsidRPr="003B7C47" w:rsidRDefault="00134B31" w:rsidP="00134B31">
      <w:pPr>
        <w:numPr>
          <w:ilvl w:val="0"/>
          <w:numId w:val="4"/>
        </w:numPr>
        <w:autoSpaceDE w:val="0"/>
        <w:autoSpaceDN w:val="0"/>
        <w:adjustRightInd w:val="0"/>
        <w:ind w:left="731" w:hangingChars="281" w:hanging="731"/>
        <w:jc w:val="both"/>
        <w:rPr>
          <w:rFonts w:eastAsia="標楷體" w:hAnsi="標楷體"/>
          <w:kern w:val="0"/>
          <w:sz w:val="26"/>
          <w:szCs w:val="26"/>
        </w:rPr>
      </w:pPr>
      <w:r w:rsidRPr="003B7C47">
        <w:rPr>
          <w:rFonts w:eastAsia="標楷體" w:hAnsi="標楷體" w:hint="eastAsia"/>
          <w:kern w:val="0"/>
          <w:sz w:val="26"/>
          <w:szCs w:val="26"/>
        </w:rPr>
        <w:t>本中心教師分教授、副教授、助理教授及講師四級。</w:t>
      </w:r>
    </w:p>
    <w:p w:rsidR="00134B31" w:rsidRPr="003B7C47" w:rsidRDefault="00134B31" w:rsidP="00134B31">
      <w:pPr>
        <w:numPr>
          <w:ilvl w:val="0"/>
          <w:numId w:val="4"/>
        </w:numPr>
        <w:autoSpaceDE w:val="0"/>
        <w:autoSpaceDN w:val="0"/>
        <w:adjustRightInd w:val="0"/>
        <w:ind w:left="731" w:hangingChars="281" w:hanging="731"/>
        <w:jc w:val="both"/>
        <w:rPr>
          <w:rFonts w:eastAsia="標楷體" w:hAnsi="標楷體"/>
          <w:kern w:val="0"/>
          <w:sz w:val="26"/>
          <w:szCs w:val="26"/>
        </w:rPr>
      </w:pPr>
      <w:r w:rsidRPr="003B7C47">
        <w:rPr>
          <w:rFonts w:eastAsia="標楷體" w:hAnsi="標楷體" w:hint="eastAsia"/>
          <w:kern w:val="0"/>
          <w:sz w:val="26"/>
          <w:szCs w:val="26"/>
        </w:rPr>
        <w:t>本中心</w:t>
      </w:r>
      <w:proofErr w:type="gramStart"/>
      <w:r w:rsidRPr="003B7C47">
        <w:rPr>
          <w:rFonts w:eastAsia="標楷體" w:hAnsi="標楷體" w:hint="eastAsia"/>
          <w:kern w:val="0"/>
          <w:sz w:val="26"/>
          <w:szCs w:val="26"/>
        </w:rPr>
        <w:t>初聘專</w:t>
      </w:r>
      <w:proofErr w:type="gramEnd"/>
      <w:r w:rsidRPr="003B7C47">
        <w:rPr>
          <w:rFonts w:eastAsia="標楷體" w:hAnsi="標楷體" w:hint="eastAsia"/>
          <w:kern w:val="0"/>
          <w:sz w:val="26"/>
          <w:szCs w:val="26"/>
        </w:rPr>
        <w:t>、兼任各級教師應具有教育人員任用條例規定之資格，初聘專任教師如未具教師證書者，應具有博士學位或同等學歷證書。如有特殊原因，經本校教師評審委員會（以下簡稱校教評會）審議通過者，不在此限。</w:t>
      </w:r>
    </w:p>
    <w:p w:rsidR="00134B31" w:rsidRPr="003B7C47" w:rsidRDefault="00134B31" w:rsidP="00134B31">
      <w:pPr>
        <w:numPr>
          <w:ilvl w:val="0"/>
          <w:numId w:val="4"/>
        </w:numPr>
        <w:rPr>
          <w:rFonts w:eastAsia="標楷體" w:hAnsi="標楷體"/>
          <w:kern w:val="0"/>
          <w:sz w:val="26"/>
          <w:szCs w:val="26"/>
        </w:rPr>
      </w:pPr>
      <w:r w:rsidRPr="003B7C47">
        <w:rPr>
          <w:rFonts w:eastAsia="標楷體" w:hAnsi="標楷體" w:hint="eastAsia"/>
          <w:kern w:val="0"/>
          <w:sz w:val="26"/>
          <w:szCs w:val="26"/>
        </w:rPr>
        <w:t>本中心依本校教師聘任與升等評審辦法第六條及第七條流程辦理專任教師之初聘事宜。</w:t>
      </w:r>
    </w:p>
    <w:p w:rsidR="00134B31" w:rsidRPr="003B7C47" w:rsidRDefault="00134B31" w:rsidP="00134B31">
      <w:pPr>
        <w:numPr>
          <w:ilvl w:val="0"/>
          <w:numId w:val="3"/>
        </w:numPr>
        <w:autoSpaceDE w:val="0"/>
        <w:autoSpaceDN w:val="0"/>
        <w:adjustRightInd w:val="0"/>
        <w:jc w:val="both"/>
        <w:rPr>
          <w:rFonts w:eastAsia="標楷體" w:hAnsi="標楷體"/>
          <w:kern w:val="0"/>
          <w:sz w:val="26"/>
          <w:szCs w:val="26"/>
        </w:rPr>
      </w:pPr>
      <w:r w:rsidRPr="003B7C47">
        <w:rPr>
          <w:rFonts w:eastAsia="標楷體" w:hAnsi="標楷體" w:hint="eastAsia"/>
          <w:kern w:val="0"/>
          <w:sz w:val="26"/>
          <w:szCs w:val="26"/>
        </w:rPr>
        <w:t>本中心兼任教師之</w:t>
      </w:r>
      <w:proofErr w:type="gramStart"/>
      <w:r w:rsidRPr="003B7C47">
        <w:rPr>
          <w:rFonts w:eastAsia="標楷體" w:hAnsi="標楷體" w:hint="eastAsia"/>
          <w:kern w:val="0"/>
          <w:sz w:val="26"/>
          <w:szCs w:val="26"/>
        </w:rPr>
        <w:t>初聘依下列</w:t>
      </w:r>
      <w:proofErr w:type="gramEnd"/>
      <w:r w:rsidRPr="003B7C47">
        <w:rPr>
          <w:rFonts w:eastAsia="標楷體" w:hAnsi="標楷體" w:hint="eastAsia"/>
          <w:kern w:val="0"/>
          <w:sz w:val="26"/>
          <w:szCs w:val="26"/>
        </w:rPr>
        <w:t>程序辦理：</w:t>
      </w:r>
    </w:p>
    <w:p w:rsidR="00134B31" w:rsidRPr="003B7C47" w:rsidRDefault="00134B31" w:rsidP="00134B31">
      <w:pPr>
        <w:numPr>
          <w:ilvl w:val="0"/>
          <w:numId w:val="5"/>
        </w:numPr>
        <w:autoSpaceDE w:val="0"/>
        <w:autoSpaceDN w:val="0"/>
        <w:adjustRightInd w:val="0"/>
        <w:ind w:left="1418"/>
        <w:jc w:val="both"/>
        <w:rPr>
          <w:rFonts w:eastAsia="標楷體" w:hAnsi="標楷體"/>
          <w:kern w:val="0"/>
          <w:sz w:val="26"/>
          <w:szCs w:val="26"/>
        </w:rPr>
      </w:pPr>
      <w:r w:rsidRPr="003B7C47">
        <w:rPr>
          <w:rFonts w:eastAsia="標楷體" w:hAnsi="標楷體" w:hint="eastAsia"/>
          <w:kern w:val="0"/>
          <w:sz w:val="26"/>
          <w:szCs w:val="26"/>
        </w:rPr>
        <w:t>於學期開始前二</w:t>
      </w:r>
      <w:proofErr w:type="gramStart"/>
      <w:r w:rsidRPr="003B7C47">
        <w:rPr>
          <w:rFonts w:eastAsia="標楷體" w:hAnsi="標楷體" w:hint="eastAsia"/>
          <w:kern w:val="0"/>
          <w:sz w:val="26"/>
          <w:szCs w:val="26"/>
        </w:rPr>
        <w:t>個</w:t>
      </w:r>
      <w:proofErr w:type="gramEnd"/>
      <w:r w:rsidRPr="003B7C47">
        <w:rPr>
          <w:rFonts w:eastAsia="標楷體" w:hAnsi="標楷體" w:hint="eastAsia"/>
          <w:kern w:val="0"/>
          <w:sz w:val="26"/>
          <w:szCs w:val="26"/>
        </w:rPr>
        <w:t>月（即每年十二月一日及六月一日前）提出兼任教師名冊。如有特殊原因，無法依限辦理，得由本中心簽請校長核可後提出。</w:t>
      </w:r>
    </w:p>
    <w:p w:rsidR="00134B31" w:rsidRPr="003B7C47" w:rsidRDefault="00134B31" w:rsidP="00134B31">
      <w:pPr>
        <w:numPr>
          <w:ilvl w:val="0"/>
          <w:numId w:val="5"/>
        </w:numPr>
        <w:autoSpaceDE w:val="0"/>
        <w:autoSpaceDN w:val="0"/>
        <w:adjustRightInd w:val="0"/>
        <w:ind w:left="1418"/>
        <w:jc w:val="both"/>
        <w:rPr>
          <w:rFonts w:eastAsia="標楷體" w:hAnsi="標楷體"/>
          <w:kern w:val="0"/>
          <w:sz w:val="26"/>
          <w:szCs w:val="26"/>
        </w:rPr>
      </w:pPr>
      <w:r w:rsidRPr="003B7C47">
        <w:rPr>
          <w:rFonts w:eastAsia="標楷體" w:hAnsi="標楷體" w:hint="eastAsia"/>
          <w:kern w:val="0"/>
          <w:sz w:val="26"/>
          <w:szCs w:val="26"/>
        </w:rPr>
        <w:t>初聘者應檢附學歷證件、教師證書影本及基本資料表，經中心教師評審委員會</w:t>
      </w:r>
      <w:r w:rsidRPr="003B7C47">
        <w:rPr>
          <w:rFonts w:eastAsia="標楷體" w:hAnsi="標楷體" w:hint="eastAsia"/>
          <w:kern w:val="0"/>
          <w:sz w:val="26"/>
          <w:szCs w:val="26"/>
        </w:rPr>
        <w:t>(</w:t>
      </w:r>
      <w:r w:rsidRPr="003B7C47">
        <w:rPr>
          <w:rFonts w:eastAsia="標楷體" w:hAnsi="標楷體" w:hint="eastAsia"/>
          <w:kern w:val="0"/>
          <w:sz w:val="26"/>
          <w:szCs w:val="26"/>
        </w:rPr>
        <w:t>以下簡稱中心教評會</w:t>
      </w:r>
      <w:r w:rsidRPr="003B7C47">
        <w:rPr>
          <w:rFonts w:eastAsia="標楷體" w:hAnsi="標楷體" w:hint="eastAsia"/>
          <w:kern w:val="0"/>
          <w:sz w:val="26"/>
          <w:szCs w:val="26"/>
        </w:rPr>
        <w:t>)</w:t>
      </w:r>
      <w:r w:rsidRPr="003B7C47">
        <w:rPr>
          <w:rFonts w:eastAsia="標楷體" w:hAnsi="標楷體" w:hint="eastAsia"/>
          <w:kern w:val="0"/>
          <w:sz w:val="26"/>
          <w:szCs w:val="26"/>
        </w:rPr>
        <w:t>初審通過、非屬</w:t>
      </w:r>
      <w:proofErr w:type="gramStart"/>
      <w:r w:rsidRPr="003B7C47">
        <w:rPr>
          <w:rFonts w:eastAsia="標楷體" w:hAnsi="標楷體" w:hint="eastAsia"/>
          <w:kern w:val="0"/>
          <w:sz w:val="26"/>
          <w:szCs w:val="26"/>
        </w:rPr>
        <w:t>系所院級</w:t>
      </w:r>
      <w:proofErr w:type="gramEnd"/>
      <w:r w:rsidRPr="003B7C47">
        <w:rPr>
          <w:rFonts w:eastAsia="標楷體" w:hAnsi="標楷體" w:hint="eastAsia"/>
          <w:kern w:val="0"/>
          <w:sz w:val="26"/>
          <w:szCs w:val="26"/>
        </w:rPr>
        <w:t>教師評審委員會</w:t>
      </w:r>
      <w:r w:rsidRPr="003B7C47">
        <w:rPr>
          <w:rFonts w:eastAsia="標楷體" w:hAnsi="標楷體" w:hint="eastAsia"/>
          <w:kern w:val="0"/>
          <w:sz w:val="26"/>
          <w:szCs w:val="26"/>
        </w:rPr>
        <w:t>(</w:t>
      </w:r>
      <w:r w:rsidRPr="003B7C47">
        <w:rPr>
          <w:rFonts w:eastAsia="標楷體" w:hAnsi="標楷體" w:hint="eastAsia"/>
          <w:kern w:val="0"/>
          <w:sz w:val="26"/>
          <w:szCs w:val="26"/>
        </w:rPr>
        <w:t>以下簡稱非屬系</w:t>
      </w:r>
      <w:proofErr w:type="gramStart"/>
      <w:r w:rsidRPr="003B7C47">
        <w:rPr>
          <w:rFonts w:eastAsia="標楷體" w:hAnsi="標楷體" w:hint="eastAsia"/>
          <w:kern w:val="0"/>
          <w:sz w:val="26"/>
          <w:szCs w:val="26"/>
        </w:rPr>
        <w:t>所院級教</w:t>
      </w:r>
      <w:proofErr w:type="gramEnd"/>
      <w:r w:rsidRPr="003B7C47">
        <w:rPr>
          <w:rFonts w:eastAsia="標楷體" w:hAnsi="標楷體" w:hint="eastAsia"/>
          <w:kern w:val="0"/>
          <w:sz w:val="26"/>
          <w:szCs w:val="26"/>
        </w:rPr>
        <w:t>評會</w:t>
      </w:r>
      <w:r w:rsidRPr="003B7C47">
        <w:rPr>
          <w:rFonts w:eastAsia="標楷體" w:hAnsi="標楷體" w:hint="eastAsia"/>
          <w:kern w:val="0"/>
          <w:sz w:val="26"/>
          <w:szCs w:val="26"/>
        </w:rPr>
        <w:t>)</w:t>
      </w:r>
      <w:proofErr w:type="gramStart"/>
      <w:r w:rsidRPr="003B7C47">
        <w:rPr>
          <w:rFonts w:eastAsia="標楷體" w:hAnsi="標楷體" w:hint="eastAsia"/>
          <w:kern w:val="0"/>
          <w:sz w:val="26"/>
          <w:szCs w:val="26"/>
        </w:rPr>
        <w:t>複</w:t>
      </w:r>
      <w:proofErr w:type="gramEnd"/>
      <w:r w:rsidRPr="003B7C47">
        <w:rPr>
          <w:rFonts w:eastAsia="標楷體" w:hAnsi="標楷體" w:hint="eastAsia"/>
          <w:kern w:val="0"/>
          <w:sz w:val="26"/>
          <w:szCs w:val="26"/>
        </w:rPr>
        <w:t>審通過後，</w:t>
      </w:r>
      <w:proofErr w:type="gramStart"/>
      <w:r w:rsidRPr="003B7C47">
        <w:rPr>
          <w:rFonts w:eastAsia="標楷體" w:hAnsi="標楷體" w:hint="eastAsia"/>
          <w:kern w:val="0"/>
          <w:sz w:val="26"/>
          <w:szCs w:val="26"/>
        </w:rPr>
        <w:t>提校教</w:t>
      </w:r>
      <w:proofErr w:type="gramEnd"/>
      <w:r w:rsidRPr="003B7C47">
        <w:rPr>
          <w:rFonts w:eastAsia="標楷體" w:hAnsi="標楷體" w:hint="eastAsia"/>
          <w:kern w:val="0"/>
          <w:sz w:val="26"/>
          <w:szCs w:val="26"/>
        </w:rPr>
        <w:t>評會審議。</w:t>
      </w:r>
    </w:p>
    <w:p w:rsidR="00134B31" w:rsidRPr="003B7C47" w:rsidRDefault="00134B31" w:rsidP="00134B31">
      <w:pPr>
        <w:numPr>
          <w:ilvl w:val="0"/>
          <w:numId w:val="5"/>
        </w:numPr>
        <w:autoSpaceDE w:val="0"/>
        <w:autoSpaceDN w:val="0"/>
        <w:adjustRightInd w:val="0"/>
        <w:ind w:left="1418"/>
        <w:jc w:val="both"/>
        <w:rPr>
          <w:rFonts w:eastAsia="標楷體" w:hAnsi="標楷體"/>
          <w:kern w:val="0"/>
          <w:sz w:val="26"/>
          <w:szCs w:val="26"/>
        </w:rPr>
      </w:pPr>
      <w:r w:rsidRPr="003B7C47">
        <w:rPr>
          <w:rFonts w:eastAsia="標楷體" w:hAnsi="標楷體" w:hint="eastAsia"/>
          <w:kern w:val="0"/>
          <w:sz w:val="26"/>
          <w:szCs w:val="26"/>
        </w:rPr>
        <w:t>服務於公立學校及擔任公職者，應檢附服務機關學校同意書。</w:t>
      </w:r>
    </w:p>
    <w:p w:rsidR="00134B31" w:rsidRPr="003B7C47" w:rsidRDefault="00134B31" w:rsidP="00134B31">
      <w:pPr>
        <w:numPr>
          <w:ilvl w:val="0"/>
          <w:numId w:val="3"/>
        </w:numPr>
        <w:autoSpaceDE w:val="0"/>
        <w:autoSpaceDN w:val="0"/>
        <w:adjustRightInd w:val="0"/>
        <w:ind w:left="731" w:hangingChars="281" w:hanging="731"/>
        <w:jc w:val="both"/>
        <w:rPr>
          <w:rFonts w:eastAsia="標楷體" w:hAnsi="標楷體"/>
          <w:kern w:val="0"/>
          <w:sz w:val="26"/>
          <w:szCs w:val="26"/>
        </w:rPr>
      </w:pPr>
      <w:r w:rsidRPr="003B7C47">
        <w:rPr>
          <w:rFonts w:eastAsia="標楷體" w:hAnsi="標楷體" w:hint="eastAsia"/>
          <w:kern w:val="0"/>
          <w:sz w:val="26"/>
          <w:szCs w:val="26"/>
        </w:rPr>
        <w:t>本中心教師之續聘、停聘、</w:t>
      </w:r>
      <w:proofErr w:type="gramStart"/>
      <w:r w:rsidRPr="003B7C47">
        <w:rPr>
          <w:rFonts w:eastAsia="標楷體" w:hAnsi="標楷體" w:hint="eastAsia"/>
          <w:kern w:val="0"/>
          <w:sz w:val="26"/>
          <w:szCs w:val="26"/>
        </w:rPr>
        <w:t>不</w:t>
      </w:r>
      <w:proofErr w:type="gramEnd"/>
      <w:r w:rsidRPr="003B7C47">
        <w:rPr>
          <w:rFonts w:eastAsia="標楷體" w:hAnsi="標楷體" w:hint="eastAsia"/>
          <w:kern w:val="0"/>
          <w:sz w:val="26"/>
          <w:szCs w:val="26"/>
        </w:rPr>
        <w:t>續聘與解聘規定如下：</w:t>
      </w:r>
    </w:p>
    <w:p w:rsidR="00134B31" w:rsidRPr="003B7C47" w:rsidRDefault="00134B31" w:rsidP="00134B31">
      <w:pPr>
        <w:numPr>
          <w:ilvl w:val="0"/>
          <w:numId w:val="6"/>
        </w:numPr>
        <w:autoSpaceDE w:val="0"/>
        <w:autoSpaceDN w:val="0"/>
        <w:adjustRightInd w:val="0"/>
        <w:ind w:left="1418"/>
        <w:jc w:val="both"/>
        <w:rPr>
          <w:rFonts w:eastAsia="標楷體" w:hAnsi="標楷體"/>
          <w:kern w:val="0"/>
          <w:sz w:val="26"/>
          <w:szCs w:val="26"/>
        </w:rPr>
      </w:pPr>
      <w:r w:rsidRPr="003B7C47">
        <w:rPr>
          <w:rFonts w:eastAsia="標楷體" w:hAnsi="標楷體" w:hint="eastAsia"/>
          <w:kern w:val="0"/>
          <w:sz w:val="26"/>
          <w:szCs w:val="26"/>
        </w:rPr>
        <w:t>本中心專任教師之聘期，初聘為一年，續聘第一次為一年，以後續聘每次得為兩年。</w:t>
      </w:r>
    </w:p>
    <w:p w:rsidR="00134B31" w:rsidRPr="003B7C47" w:rsidRDefault="00134B31" w:rsidP="00134B31">
      <w:pPr>
        <w:numPr>
          <w:ilvl w:val="0"/>
          <w:numId w:val="6"/>
        </w:numPr>
        <w:autoSpaceDE w:val="0"/>
        <w:autoSpaceDN w:val="0"/>
        <w:adjustRightInd w:val="0"/>
        <w:ind w:left="1418"/>
        <w:jc w:val="both"/>
        <w:rPr>
          <w:rFonts w:eastAsia="標楷體" w:hAnsi="標楷體"/>
          <w:kern w:val="0"/>
          <w:sz w:val="26"/>
          <w:szCs w:val="26"/>
        </w:rPr>
      </w:pPr>
      <w:r w:rsidRPr="003B7C47">
        <w:rPr>
          <w:rFonts w:eastAsia="標楷體" w:hAnsi="標楷體" w:hint="eastAsia"/>
          <w:kern w:val="0"/>
          <w:sz w:val="26"/>
          <w:szCs w:val="26"/>
        </w:rPr>
        <w:t>專任教師之停聘、</w:t>
      </w:r>
      <w:proofErr w:type="gramStart"/>
      <w:r w:rsidRPr="003B7C47">
        <w:rPr>
          <w:rFonts w:eastAsia="標楷體" w:hAnsi="標楷體" w:hint="eastAsia"/>
          <w:kern w:val="0"/>
          <w:sz w:val="26"/>
          <w:szCs w:val="26"/>
        </w:rPr>
        <w:t>不</w:t>
      </w:r>
      <w:proofErr w:type="gramEnd"/>
      <w:r w:rsidRPr="003B7C47">
        <w:rPr>
          <w:rFonts w:eastAsia="標楷體" w:hAnsi="標楷體" w:hint="eastAsia"/>
          <w:kern w:val="0"/>
          <w:sz w:val="26"/>
          <w:szCs w:val="26"/>
        </w:rPr>
        <w:t>續聘與解聘由中心詳敘理由、法令依據及檢具相關資料，經中心教評會初審及非屬系</w:t>
      </w:r>
      <w:proofErr w:type="gramStart"/>
      <w:r w:rsidRPr="003B7C47">
        <w:rPr>
          <w:rFonts w:eastAsia="標楷體" w:hAnsi="標楷體" w:hint="eastAsia"/>
          <w:kern w:val="0"/>
          <w:sz w:val="26"/>
          <w:szCs w:val="26"/>
        </w:rPr>
        <w:t>所院級教</w:t>
      </w:r>
      <w:proofErr w:type="gramEnd"/>
      <w:r w:rsidRPr="003B7C47">
        <w:rPr>
          <w:rFonts w:eastAsia="標楷體" w:hAnsi="標楷體" w:hint="eastAsia"/>
          <w:kern w:val="0"/>
          <w:sz w:val="26"/>
          <w:szCs w:val="26"/>
        </w:rPr>
        <w:t>評會</w:t>
      </w:r>
      <w:proofErr w:type="gramStart"/>
      <w:r w:rsidRPr="003B7C47">
        <w:rPr>
          <w:rFonts w:eastAsia="標楷體" w:hAnsi="標楷體" w:hint="eastAsia"/>
          <w:kern w:val="0"/>
          <w:sz w:val="26"/>
          <w:szCs w:val="26"/>
        </w:rPr>
        <w:t>複</w:t>
      </w:r>
      <w:proofErr w:type="gramEnd"/>
      <w:r w:rsidRPr="003B7C47">
        <w:rPr>
          <w:rFonts w:eastAsia="標楷體" w:hAnsi="標楷體" w:hint="eastAsia"/>
          <w:kern w:val="0"/>
          <w:sz w:val="26"/>
          <w:szCs w:val="26"/>
        </w:rPr>
        <w:t>審，於每年四月（十月）上旬前審查完畢，並將審查結果送人事室</w:t>
      </w:r>
      <w:proofErr w:type="gramStart"/>
      <w:r w:rsidRPr="003B7C47">
        <w:rPr>
          <w:rFonts w:eastAsia="標楷體" w:hAnsi="標楷體" w:hint="eastAsia"/>
          <w:kern w:val="0"/>
          <w:sz w:val="26"/>
          <w:szCs w:val="26"/>
        </w:rPr>
        <w:t>彙提校</w:t>
      </w:r>
      <w:proofErr w:type="gramEnd"/>
      <w:r w:rsidRPr="003B7C47">
        <w:rPr>
          <w:rFonts w:eastAsia="標楷體" w:hAnsi="標楷體" w:hint="eastAsia"/>
          <w:kern w:val="0"/>
          <w:sz w:val="26"/>
          <w:szCs w:val="26"/>
        </w:rPr>
        <w:t>教評會審議。停聘、解聘、</w:t>
      </w:r>
      <w:proofErr w:type="gramStart"/>
      <w:r w:rsidRPr="003B7C47">
        <w:rPr>
          <w:rFonts w:eastAsia="標楷體" w:hAnsi="標楷體" w:hint="eastAsia"/>
          <w:kern w:val="0"/>
          <w:sz w:val="26"/>
          <w:szCs w:val="26"/>
        </w:rPr>
        <w:t>不</w:t>
      </w:r>
      <w:proofErr w:type="gramEnd"/>
      <w:r w:rsidRPr="003B7C47">
        <w:rPr>
          <w:rFonts w:eastAsia="標楷體" w:hAnsi="標楷體" w:hint="eastAsia"/>
          <w:kern w:val="0"/>
          <w:sz w:val="26"/>
          <w:szCs w:val="26"/>
        </w:rPr>
        <w:t>續聘者，中心教評會及非屬系</w:t>
      </w:r>
      <w:proofErr w:type="gramStart"/>
      <w:r w:rsidRPr="003B7C47">
        <w:rPr>
          <w:rFonts w:eastAsia="標楷體" w:hAnsi="標楷體" w:hint="eastAsia"/>
          <w:kern w:val="0"/>
          <w:sz w:val="26"/>
          <w:szCs w:val="26"/>
        </w:rPr>
        <w:t>所院級教</w:t>
      </w:r>
      <w:proofErr w:type="gramEnd"/>
      <w:r w:rsidRPr="003B7C47">
        <w:rPr>
          <w:rFonts w:eastAsia="標楷體" w:hAnsi="標楷體" w:hint="eastAsia"/>
          <w:kern w:val="0"/>
          <w:sz w:val="26"/>
          <w:szCs w:val="26"/>
        </w:rPr>
        <w:t>評會應給予當事人陳述意見之機會，</w:t>
      </w:r>
      <w:proofErr w:type="gramStart"/>
      <w:r w:rsidRPr="003B7C47">
        <w:rPr>
          <w:rFonts w:eastAsia="標楷體" w:hAnsi="標楷體" w:hint="eastAsia"/>
          <w:kern w:val="0"/>
          <w:sz w:val="26"/>
          <w:szCs w:val="26"/>
        </w:rPr>
        <w:t>並於聘約</w:t>
      </w:r>
      <w:proofErr w:type="gramEnd"/>
      <w:r w:rsidRPr="003B7C47">
        <w:rPr>
          <w:rFonts w:eastAsia="標楷體" w:hAnsi="標楷體" w:hint="eastAsia"/>
          <w:kern w:val="0"/>
          <w:sz w:val="26"/>
          <w:szCs w:val="26"/>
        </w:rPr>
        <w:t>期滿前一個月通知當事人。</w:t>
      </w:r>
    </w:p>
    <w:p w:rsidR="00134B31" w:rsidRPr="003B7C47" w:rsidRDefault="00134B31" w:rsidP="00134B31">
      <w:pPr>
        <w:numPr>
          <w:ilvl w:val="0"/>
          <w:numId w:val="6"/>
        </w:numPr>
        <w:autoSpaceDE w:val="0"/>
        <w:autoSpaceDN w:val="0"/>
        <w:adjustRightInd w:val="0"/>
        <w:ind w:left="1418"/>
        <w:jc w:val="both"/>
        <w:rPr>
          <w:rFonts w:eastAsia="標楷體" w:hAnsi="標楷體"/>
          <w:kern w:val="0"/>
          <w:sz w:val="26"/>
          <w:szCs w:val="26"/>
        </w:rPr>
      </w:pPr>
      <w:r w:rsidRPr="003B7C47">
        <w:rPr>
          <w:rFonts w:eastAsia="標楷體" w:hAnsi="標楷體" w:hint="eastAsia"/>
          <w:kern w:val="0"/>
          <w:sz w:val="26"/>
          <w:szCs w:val="26"/>
        </w:rPr>
        <w:t>專任教師未經決議</w:t>
      </w:r>
      <w:proofErr w:type="gramStart"/>
      <w:r w:rsidRPr="003B7C47">
        <w:rPr>
          <w:rFonts w:eastAsia="標楷體" w:hAnsi="標楷體" w:hint="eastAsia"/>
          <w:kern w:val="0"/>
          <w:sz w:val="26"/>
          <w:szCs w:val="26"/>
        </w:rPr>
        <w:t>不</w:t>
      </w:r>
      <w:proofErr w:type="gramEnd"/>
      <w:r w:rsidRPr="003B7C47">
        <w:rPr>
          <w:rFonts w:eastAsia="標楷體" w:hAnsi="標楷體" w:hint="eastAsia"/>
          <w:kern w:val="0"/>
          <w:sz w:val="26"/>
          <w:szCs w:val="26"/>
        </w:rPr>
        <w:t>續聘者，視同為續聘。</w:t>
      </w:r>
    </w:p>
    <w:p w:rsidR="00134B31" w:rsidRPr="0079124B" w:rsidRDefault="00134B31" w:rsidP="00134B31">
      <w:pPr>
        <w:numPr>
          <w:ilvl w:val="0"/>
          <w:numId w:val="6"/>
        </w:numPr>
        <w:autoSpaceDE w:val="0"/>
        <w:autoSpaceDN w:val="0"/>
        <w:adjustRightInd w:val="0"/>
        <w:ind w:left="1418"/>
        <w:jc w:val="both"/>
        <w:rPr>
          <w:rFonts w:eastAsia="標楷體" w:hAnsi="標楷體"/>
          <w:kern w:val="0"/>
          <w:sz w:val="26"/>
          <w:szCs w:val="26"/>
        </w:rPr>
      </w:pPr>
      <w:r w:rsidRPr="0079124B">
        <w:rPr>
          <w:rFonts w:eastAsia="標楷體" w:hAnsi="標楷體" w:hint="eastAsia"/>
          <w:kern w:val="0"/>
          <w:sz w:val="26"/>
          <w:szCs w:val="26"/>
        </w:rPr>
        <w:t>兼任教師之續聘、</w:t>
      </w:r>
      <w:proofErr w:type="gramStart"/>
      <w:r w:rsidRPr="0079124B">
        <w:rPr>
          <w:rFonts w:eastAsia="標楷體" w:hAnsi="標楷體" w:hint="eastAsia"/>
          <w:kern w:val="0"/>
          <w:sz w:val="26"/>
          <w:szCs w:val="26"/>
        </w:rPr>
        <w:t>停聘與解聘</w:t>
      </w:r>
      <w:proofErr w:type="gramEnd"/>
      <w:r w:rsidRPr="0079124B">
        <w:rPr>
          <w:rFonts w:eastAsia="標楷體" w:hAnsi="標楷體" w:hint="eastAsia"/>
          <w:kern w:val="0"/>
          <w:sz w:val="26"/>
          <w:szCs w:val="26"/>
        </w:rPr>
        <w:t>須經中心教評會初審通過，非</w:t>
      </w:r>
      <w:r w:rsidRPr="0079124B">
        <w:rPr>
          <w:rFonts w:eastAsia="標楷體" w:hAnsi="標楷體" w:hint="eastAsia"/>
          <w:kern w:val="0"/>
          <w:sz w:val="26"/>
          <w:szCs w:val="26"/>
        </w:rPr>
        <w:lastRenderedPageBreak/>
        <w:t>屬系</w:t>
      </w:r>
      <w:proofErr w:type="gramStart"/>
      <w:r w:rsidRPr="0079124B">
        <w:rPr>
          <w:rFonts w:eastAsia="標楷體" w:hAnsi="標楷體" w:hint="eastAsia"/>
          <w:kern w:val="0"/>
          <w:sz w:val="26"/>
          <w:szCs w:val="26"/>
        </w:rPr>
        <w:t>所院級教</w:t>
      </w:r>
      <w:proofErr w:type="gramEnd"/>
      <w:r w:rsidRPr="0079124B">
        <w:rPr>
          <w:rFonts w:eastAsia="標楷體" w:hAnsi="標楷體" w:hint="eastAsia"/>
          <w:kern w:val="0"/>
          <w:sz w:val="26"/>
          <w:szCs w:val="26"/>
        </w:rPr>
        <w:t>評會</w:t>
      </w:r>
      <w:proofErr w:type="gramStart"/>
      <w:r w:rsidRPr="0079124B">
        <w:rPr>
          <w:rFonts w:eastAsia="標楷體" w:hAnsi="標楷體" w:hint="eastAsia"/>
          <w:kern w:val="0"/>
          <w:sz w:val="26"/>
          <w:szCs w:val="26"/>
        </w:rPr>
        <w:t>複</w:t>
      </w:r>
      <w:proofErr w:type="gramEnd"/>
      <w:r w:rsidRPr="0079124B">
        <w:rPr>
          <w:rFonts w:eastAsia="標楷體" w:hAnsi="標楷體" w:hint="eastAsia"/>
          <w:kern w:val="0"/>
          <w:sz w:val="26"/>
          <w:szCs w:val="26"/>
        </w:rPr>
        <w:t>審通過，</w:t>
      </w:r>
      <w:proofErr w:type="gramStart"/>
      <w:r w:rsidRPr="0079124B">
        <w:rPr>
          <w:rFonts w:eastAsia="標楷體" w:hAnsi="標楷體" w:hint="eastAsia"/>
          <w:kern w:val="0"/>
          <w:sz w:val="26"/>
          <w:szCs w:val="26"/>
        </w:rPr>
        <w:t>提校教</w:t>
      </w:r>
      <w:proofErr w:type="gramEnd"/>
      <w:r w:rsidRPr="0079124B">
        <w:rPr>
          <w:rFonts w:eastAsia="標楷體" w:hAnsi="標楷體" w:hint="eastAsia"/>
          <w:kern w:val="0"/>
          <w:sz w:val="26"/>
          <w:szCs w:val="26"/>
        </w:rPr>
        <w:t>評會審議。停聘、解聘者，中心教評會應給予當事人陳述意見之機會。</w:t>
      </w:r>
    </w:p>
    <w:p w:rsidR="00134B31" w:rsidRDefault="00134B31" w:rsidP="00134B31">
      <w:pPr>
        <w:numPr>
          <w:ilvl w:val="0"/>
          <w:numId w:val="6"/>
        </w:numPr>
        <w:autoSpaceDE w:val="0"/>
        <w:autoSpaceDN w:val="0"/>
        <w:adjustRightInd w:val="0"/>
        <w:ind w:left="1418"/>
        <w:jc w:val="both"/>
        <w:rPr>
          <w:rFonts w:eastAsia="標楷體" w:hAnsi="標楷體"/>
          <w:kern w:val="0"/>
          <w:sz w:val="26"/>
          <w:szCs w:val="26"/>
        </w:rPr>
      </w:pPr>
      <w:r w:rsidRPr="00D62814">
        <w:rPr>
          <w:rFonts w:eastAsia="標楷體" w:hAnsi="標楷體" w:hint="eastAsia"/>
          <w:kern w:val="0"/>
          <w:sz w:val="26"/>
          <w:szCs w:val="26"/>
        </w:rPr>
        <w:t>有教師法第十四條第一項第一款至第十二款或第二項後段情事之</w:t>
      </w:r>
      <w:proofErr w:type="gramStart"/>
      <w:r w:rsidRPr="00D62814">
        <w:rPr>
          <w:rFonts w:eastAsia="標楷體" w:hAnsi="標楷體" w:hint="eastAsia"/>
          <w:kern w:val="0"/>
          <w:sz w:val="26"/>
          <w:szCs w:val="26"/>
        </w:rPr>
        <w:t>一</w:t>
      </w:r>
      <w:proofErr w:type="gramEnd"/>
      <w:r w:rsidRPr="00D62814">
        <w:rPr>
          <w:rFonts w:eastAsia="標楷體" w:hAnsi="標楷體" w:hint="eastAsia"/>
          <w:kern w:val="0"/>
          <w:sz w:val="26"/>
          <w:szCs w:val="26"/>
        </w:rPr>
        <w:t>者，不得聘任為教師。</w:t>
      </w:r>
    </w:p>
    <w:p w:rsidR="00134B31" w:rsidRDefault="00134B31" w:rsidP="00134B31">
      <w:pPr>
        <w:numPr>
          <w:ilvl w:val="0"/>
          <w:numId w:val="6"/>
        </w:numPr>
        <w:autoSpaceDE w:val="0"/>
        <w:autoSpaceDN w:val="0"/>
        <w:adjustRightInd w:val="0"/>
        <w:ind w:left="1418"/>
        <w:jc w:val="both"/>
        <w:rPr>
          <w:rFonts w:eastAsia="標楷體" w:hAnsi="標楷體"/>
          <w:kern w:val="0"/>
          <w:sz w:val="26"/>
          <w:szCs w:val="26"/>
        </w:rPr>
      </w:pPr>
      <w:r w:rsidRPr="00D62814">
        <w:rPr>
          <w:rFonts w:eastAsia="標楷體" w:hAnsi="標楷體" w:hint="eastAsia"/>
          <w:kern w:val="0"/>
          <w:sz w:val="26"/>
          <w:szCs w:val="26"/>
        </w:rPr>
        <w:t>教師聘任後除有教師法第十四條第一項各款及本校教師聘任與升等評審辦法規定者外，不得解聘、停聘或</w:t>
      </w:r>
      <w:proofErr w:type="gramStart"/>
      <w:r w:rsidRPr="00D62814">
        <w:rPr>
          <w:rFonts w:eastAsia="標楷體" w:hAnsi="標楷體" w:hint="eastAsia"/>
          <w:kern w:val="0"/>
          <w:sz w:val="26"/>
          <w:szCs w:val="26"/>
        </w:rPr>
        <w:t>不</w:t>
      </w:r>
      <w:proofErr w:type="gramEnd"/>
      <w:r w:rsidRPr="00D62814">
        <w:rPr>
          <w:rFonts w:eastAsia="標楷體" w:hAnsi="標楷體" w:hint="eastAsia"/>
          <w:kern w:val="0"/>
          <w:sz w:val="26"/>
          <w:szCs w:val="26"/>
        </w:rPr>
        <w:t>續聘。</w:t>
      </w:r>
    </w:p>
    <w:p w:rsidR="00134B31" w:rsidRDefault="00134B31" w:rsidP="00134B31">
      <w:pPr>
        <w:numPr>
          <w:ilvl w:val="0"/>
          <w:numId w:val="6"/>
        </w:numPr>
        <w:autoSpaceDE w:val="0"/>
        <w:autoSpaceDN w:val="0"/>
        <w:adjustRightInd w:val="0"/>
        <w:ind w:left="1418"/>
        <w:jc w:val="both"/>
        <w:rPr>
          <w:rFonts w:eastAsia="標楷體" w:hAnsi="標楷體"/>
          <w:kern w:val="0"/>
          <w:sz w:val="26"/>
          <w:szCs w:val="26"/>
        </w:rPr>
      </w:pPr>
      <w:r w:rsidRPr="00D62814">
        <w:rPr>
          <w:rFonts w:eastAsia="標楷體" w:hAnsi="標楷體" w:hint="eastAsia"/>
          <w:kern w:val="0"/>
          <w:sz w:val="26"/>
          <w:szCs w:val="26"/>
        </w:rPr>
        <w:t>教師有前項情形者，應依教師法第十四條及本校教師聘任與升等評審辦法規定程序辦理。</w:t>
      </w:r>
    </w:p>
    <w:p w:rsidR="00134B31" w:rsidRDefault="00134B31" w:rsidP="00134B31">
      <w:pPr>
        <w:numPr>
          <w:ilvl w:val="0"/>
          <w:numId w:val="3"/>
        </w:numPr>
        <w:autoSpaceDE w:val="0"/>
        <w:autoSpaceDN w:val="0"/>
        <w:adjustRightInd w:val="0"/>
        <w:ind w:left="731" w:hangingChars="281" w:hanging="731"/>
        <w:jc w:val="both"/>
        <w:rPr>
          <w:rFonts w:eastAsia="標楷體" w:hAnsi="標楷體"/>
          <w:kern w:val="0"/>
          <w:sz w:val="26"/>
          <w:szCs w:val="26"/>
        </w:rPr>
      </w:pPr>
      <w:r>
        <w:rPr>
          <w:rFonts w:eastAsia="標楷體" w:hAnsi="標楷體" w:hint="eastAsia"/>
          <w:kern w:val="0"/>
          <w:sz w:val="26"/>
          <w:szCs w:val="26"/>
        </w:rPr>
        <w:t>本</w:t>
      </w:r>
      <w:r w:rsidRPr="00D62814">
        <w:rPr>
          <w:rFonts w:eastAsia="標楷體" w:hAnsi="標楷體" w:hint="eastAsia"/>
          <w:kern w:val="0"/>
          <w:sz w:val="26"/>
          <w:szCs w:val="26"/>
        </w:rPr>
        <w:t>中心專任教師</w:t>
      </w:r>
      <w:r>
        <w:rPr>
          <w:rFonts w:eastAsia="標楷體" w:hAnsi="標楷體" w:hint="eastAsia"/>
          <w:kern w:val="0"/>
          <w:sz w:val="26"/>
          <w:szCs w:val="26"/>
        </w:rPr>
        <w:t>申請</w:t>
      </w:r>
      <w:r w:rsidRPr="00D62814">
        <w:rPr>
          <w:rFonts w:eastAsia="標楷體" w:hAnsi="標楷體" w:hint="eastAsia"/>
          <w:kern w:val="0"/>
          <w:sz w:val="26"/>
          <w:szCs w:val="26"/>
        </w:rPr>
        <w:t>升等，應符合</w:t>
      </w:r>
      <w:r>
        <w:rPr>
          <w:rFonts w:eastAsia="標楷體" w:hAnsi="標楷體" w:hint="eastAsia"/>
          <w:kern w:val="0"/>
          <w:sz w:val="26"/>
          <w:szCs w:val="26"/>
        </w:rPr>
        <w:t>本校</w:t>
      </w:r>
      <w:r w:rsidRPr="00E737F1">
        <w:rPr>
          <w:rFonts w:eastAsia="標楷體" w:hAnsi="標楷體" w:hint="eastAsia"/>
          <w:kern w:val="0"/>
          <w:sz w:val="26"/>
          <w:szCs w:val="26"/>
        </w:rPr>
        <w:t>非屬</w:t>
      </w:r>
      <w:proofErr w:type="gramStart"/>
      <w:r w:rsidRPr="00E737F1">
        <w:rPr>
          <w:rFonts w:eastAsia="標楷體" w:hAnsi="標楷體" w:hint="eastAsia"/>
          <w:kern w:val="0"/>
          <w:sz w:val="26"/>
          <w:szCs w:val="26"/>
        </w:rPr>
        <w:t>系所院級</w:t>
      </w:r>
      <w:proofErr w:type="gramEnd"/>
      <w:r w:rsidRPr="00E737F1">
        <w:rPr>
          <w:rFonts w:eastAsia="標楷體" w:hAnsi="標楷體" w:hint="eastAsia"/>
          <w:kern w:val="0"/>
          <w:sz w:val="26"/>
          <w:szCs w:val="26"/>
        </w:rPr>
        <w:t>教師聘任及升等審查準則</w:t>
      </w:r>
      <w:r>
        <w:rPr>
          <w:rFonts w:eastAsia="標楷體" w:hAnsi="標楷體" w:hint="eastAsia"/>
          <w:kern w:val="0"/>
          <w:sz w:val="26"/>
          <w:szCs w:val="26"/>
        </w:rPr>
        <w:t>第十一條至第十二條</w:t>
      </w:r>
      <w:r w:rsidRPr="00D62814">
        <w:rPr>
          <w:rFonts w:eastAsia="標楷體" w:hAnsi="標楷體" w:hint="eastAsia"/>
          <w:kern w:val="0"/>
          <w:sz w:val="26"/>
          <w:szCs w:val="26"/>
        </w:rPr>
        <w:t>規定。</w:t>
      </w:r>
    </w:p>
    <w:p w:rsidR="00134B31" w:rsidRDefault="00134B31" w:rsidP="00134B31">
      <w:pPr>
        <w:numPr>
          <w:ilvl w:val="0"/>
          <w:numId w:val="3"/>
        </w:numPr>
        <w:autoSpaceDE w:val="0"/>
        <w:autoSpaceDN w:val="0"/>
        <w:adjustRightInd w:val="0"/>
        <w:ind w:left="731" w:hangingChars="281" w:hanging="731"/>
        <w:jc w:val="both"/>
        <w:rPr>
          <w:rFonts w:eastAsia="標楷體" w:hAnsi="標楷體"/>
          <w:kern w:val="0"/>
          <w:sz w:val="26"/>
          <w:szCs w:val="26"/>
        </w:rPr>
      </w:pPr>
      <w:r>
        <w:rPr>
          <w:rFonts w:eastAsia="標楷體" w:hAnsi="標楷體" w:hint="eastAsia"/>
          <w:kern w:val="0"/>
          <w:sz w:val="26"/>
          <w:szCs w:val="26"/>
        </w:rPr>
        <w:t>本</w:t>
      </w:r>
      <w:r w:rsidRPr="00E737F1">
        <w:rPr>
          <w:rFonts w:eastAsia="標楷體" w:hAnsi="標楷體" w:hint="eastAsia"/>
          <w:kern w:val="0"/>
          <w:sz w:val="26"/>
          <w:szCs w:val="26"/>
        </w:rPr>
        <w:t>中心</w:t>
      </w:r>
      <w:r>
        <w:rPr>
          <w:rFonts w:eastAsia="標楷體" w:hAnsi="標楷體" w:hint="eastAsia"/>
          <w:kern w:val="0"/>
          <w:sz w:val="26"/>
          <w:szCs w:val="26"/>
        </w:rPr>
        <w:t>兼</w:t>
      </w:r>
      <w:r w:rsidRPr="00E737F1">
        <w:rPr>
          <w:rFonts w:eastAsia="標楷體" w:hAnsi="標楷體" w:hint="eastAsia"/>
          <w:kern w:val="0"/>
          <w:sz w:val="26"/>
          <w:szCs w:val="26"/>
        </w:rPr>
        <w:t>任教師</w:t>
      </w:r>
      <w:r>
        <w:rPr>
          <w:rFonts w:eastAsia="標楷體" w:hAnsi="標楷體" w:hint="eastAsia"/>
          <w:kern w:val="0"/>
          <w:sz w:val="26"/>
          <w:szCs w:val="26"/>
        </w:rPr>
        <w:t>申請</w:t>
      </w:r>
      <w:r w:rsidRPr="00E737F1">
        <w:rPr>
          <w:rFonts w:eastAsia="標楷體" w:hAnsi="標楷體" w:hint="eastAsia"/>
          <w:kern w:val="0"/>
          <w:sz w:val="26"/>
          <w:szCs w:val="26"/>
        </w:rPr>
        <w:t>升等</w:t>
      </w:r>
      <w:r>
        <w:rPr>
          <w:rFonts w:eastAsia="標楷體" w:hAnsi="標楷體" w:hint="eastAsia"/>
          <w:kern w:val="0"/>
          <w:sz w:val="26"/>
          <w:szCs w:val="26"/>
        </w:rPr>
        <w:t>，應符合本校非屬</w:t>
      </w:r>
      <w:proofErr w:type="gramStart"/>
      <w:r>
        <w:rPr>
          <w:rFonts w:eastAsia="標楷體" w:hAnsi="標楷體" w:hint="eastAsia"/>
          <w:kern w:val="0"/>
          <w:sz w:val="26"/>
          <w:szCs w:val="26"/>
        </w:rPr>
        <w:t>系所院級</w:t>
      </w:r>
      <w:proofErr w:type="gramEnd"/>
      <w:r>
        <w:rPr>
          <w:rFonts w:eastAsia="標楷體" w:hAnsi="標楷體" w:hint="eastAsia"/>
          <w:kern w:val="0"/>
          <w:sz w:val="26"/>
          <w:szCs w:val="26"/>
        </w:rPr>
        <w:t>教師聘任及升等審查準則第十一條、第十三條規定。</w:t>
      </w:r>
    </w:p>
    <w:p w:rsidR="00134B31" w:rsidRDefault="00134B31" w:rsidP="00134B31">
      <w:pPr>
        <w:numPr>
          <w:ilvl w:val="0"/>
          <w:numId w:val="3"/>
        </w:numPr>
        <w:autoSpaceDE w:val="0"/>
        <w:autoSpaceDN w:val="0"/>
        <w:adjustRightInd w:val="0"/>
        <w:ind w:left="731" w:hangingChars="281" w:hanging="731"/>
        <w:jc w:val="both"/>
        <w:rPr>
          <w:rFonts w:eastAsia="標楷體" w:hAnsi="標楷體"/>
          <w:kern w:val="0"/>
          <w:sz w:val="26"/>
          <w:szCs w:val="26"/>
        </w:rPr>
      </w:pPr>
      <w:bookmarkStart w:id="8" w:name="OLE_LINK53"/>
      <w:bookmarkStart w:id="9" w:name="OLE_LINK54"/>
      <w:r>
        <w:rPr>
          <w:rFonts w:eastAsia="標楷體" w:hAnsi="標楷體" w:hint="eastAsia"/>
          <w:kern w:val="0"/>
          <w:sz w:val="26"/>
          <w:szCs w:val="26"/>
        </w:rPr>
        <w:t>本中心教師辦理著作升等，依下列程序辦理：</w:t>
      </w:r>
    </w:p>
    <w:p w:rsidR="00134B31" w:rsidRDefault="00134B31" w:rsidP="00134B31">
      <w:pPr>
        <w:numPr>
          <w:ilvl w:val="0"/>
          <w:numId w:val="2"/>
        </w:numPr>
        <w:autoSpaceDE w:val="0"/>
        <w:autoSpaceDN w:val="0"/>
        <w:adjustRightInd w:val="0"/>
        <w:ind w:left="1418" w:hanging="465"/>
        <w:jc w:val="both"/>
        <w:rPr>
          <w:rFonts w:eastAsia="標楷體" w:hAnsi="標楷體"/>
          <w:kern w:val="0"/>
          <w:sz w:val="26"/>
          <w:szCs w:val="26"/>
        </w:rPr>
      </w:pPr>
      <w:r>
        <w:rPr>
          <w:rFonts w:eastAsia="標楷體" w:hAnsi="標楷體" w:hint="eastAsia"/>
          <w:kern w:val="0"/>
          <w:sz w:val="26"/>
          <w:szCs w:val="26"/>
        </w:rPr>
        <w:t>申請升等教師應於每年</w:t>
      </w:r>
      <w:r w:rsidRPr="0079124B">
        <w:rPr>
          <w:rFonts w:eastAsia="標楷體" w:hAnsi="標楷體" w:hint="eastAsia"/>
          <w:kern w:val="0"/>
          <w:sz w:val="26"/>
          <w:szCs w:val="26"/>
        </w:rPr>
        <w:t>二</w:t>
      </w:r>
      <w:r>
        <w:rPr>
          <w:rFonts w:eastAsia="標楷體" w:hAnsi="標楷體" w:hint="eastAsia"/>
          <w:kern w:val="0"/>
          <w:sz w:val="26"/>
          <w:szCs w:val="26"/>
        </w:rPr>
        <w:t>月一日（</w:t>
      </w:r>
      <w:r w:rsidRPr="0079124B">
        <w:rPr>
          <w:rFonts w:eastAsia="標楷體" w:hAnsi="標楷體" w:hint="eastAsia"/>
          <w:kern w:val="0"/>
          <w:sz w:val="26"/>
          <w:szCs w:val="26"/>
        </w:rPr>
        <w:t>八</w:t>
      </w:r>
      <w:r w:rsidRPr="00052D37">
        <w:rPr>
          <w:rFonts w:eastAsia="標楷體" w:hAnsi="標楷體" w:hint="eastAsia"/>
          <w:kern w:val="0"/>
          <w:sz w:val="26"/>
          <w:szCs w:val="26"/>
        </w:rPr>
        <w:t>月一日）</w:t>
      </w:r>
      <w:r>
        <w:rPr>
          <w:rFonts w:eastAsia="標楷體" w:hAnsi="標楷體" w:hint="eastAsia"/>
          <w:kern w:val="0"/>
          <w:sz w:val="26"/>
          <w:szCs w:val="26"/>
        </w:rPr>
        <w:t>前，填妥教師資格審查履歷表及教學服務成績考核評分表，</w:t>
      </w:r>
      <w:proofErr w:type="gramStart"/>
      <w:r>
        <w:rPr>
          <w:rFonts w:eastAsia="標楷體" w:hAnsi="標楷體" w:hint="eastAsia"/>
          <w:kern w:val="0"/>
          <w:sz w:val="26"/>
          <w:szCs w:val="26"/>
        </w:rPr>
        <w:t>檢齊升</w:t>
      </w:r>
      <w:proofErr w:type="gramEnd"/>
      <w:r>
        <w:rPr>
          <w:rFonts w:eastAsia="標楷體" w:hAnsi="標楷體" w:hint="eastAsia"/>
          <w:kern w:val="0"/>
          <w:sz w:val="26"/>
          <w:szCs w:val="26"/>
        </w:rPr>
        <w:t>等</w:t>
      </w:r>
      <w:bookmarkStart w:id="10" w:name="OLE_LINK103"/>
      <w:bookmarkStart w:id="11" w:name="OLE_LINK104"/>
      <w:bookmarkStart w:id="12" w:name="OLE_LINK105"/>
      <w:r w:rsidRPr="0079124B">
        <w:rPr>
          <w:rFonts w:eastAsia="標楷體" w:hAnsi="標楷體" w:hint="eastAsia"/>
          <w:color w:val="FF0000"/>
          <w:kern w:val="0"/>
          <w:sz w:val="26"/>
          <w:szCs w:val="26"/>
          <w:u w:val="single"/>
        </w:rPr>
        <w:t>代表作及參考作</w:t>
      </w:r>
      <w:bookmarkEnd w:id="10"/>
      <w:bookmarkEnd w:id="11"/>
      <w:bookmarkEnd w:id="12"/>
      <w:r w:rsidRPr="00052D37">
        <w:rPr>
          <w:rFonts w:eastAsia="標楷體" w:hAnsi="標楷體" w:hint="eastAsia"/>
          <w:kern w:val="0"/>
          <w:sz w:val="26"/>
          <w:szCs w:val="26"/>
        </w:rPr>
        <w:t>(</w:t>
      </w:r>
      <w:r w:rsidRPr="00052D37">
        <w:rPr>
          <w:rFonts w:eastAsia="標楷體" w:hAnsi="標楷體" w:hint="eastAsia"/>
          <w:kern w:val="0"/>
          <w:sz w:val="26"/>
          <w:szCs w:val="26"/>
        </w:rPr>
        <w:t>各一式三份；國外修業期限未達規定但已達三分之二者或藝術類科以作品或成就證明送審，各一式四份</w:t>
      </w:r>
      <w:r w:rsidRPr="00052D37">
        <w:rPr>
          <w:rFonts w:eastAsia="標楷體" w:hAnsi="標楷體" w:hint="eastAsia"/>
          <w:kern w:val="0"/>
          <w:sz w:val="26"/>
          <w:szCs w:val="26"/>
        </w:rPr>
        <w:t>)</w:t>
      </w:r>
      <w:r w:rsidRPr="00052D37">
        <w:rPr>
          <w:rFonts w:eastAsia="標楷體" w:hAnsi="標楷體" w:hint="eastAsia"/>
          <w:kern w:val="0"/>
          <w:sz w:val="26"/>
          <w:szCs w:val="26"/>
        </w:rPr>
        <w:t>，連同其佐證資料送中心教評會辦理初審。如超過期限未提出申請者則延至下一學期辦理。</w:t>
      </w:r>
    </w:p>
    <w:p w:rsidR="00134B31" w:rsidRPr="001A1089" w:rsidRDefault="00134B31" w:rsidP="00134B31">
      <w:pPr>
        <w:numPr>
          <w:ilvl w:val="0"/>
          <w:numId w:val="2"/>
        </w:numPr>
        <w:autoSpaceDE w:val="0"/>
        <w:autoSpaceDN w:val="0"/>
        <w:adjustRightInd w:val="0"/>
        <w:ind w:left="1418" w:hanging="465"/>
        <w:jc w:val="both"/>
        <w:rPr>
          <w:rFonts w:eastAsia="標楷體" w:hAnsi="標楷體"/>
          <w:kern w:val="0"/>
          <w:sz w:val="26"/>
          <w:szCs w:val="26"/>
        </w:rPr>
      </w:pPr>
      <w:r>
        <w:rPr>
          <w:rFonts w:eastAsia="標楷體" w:hAnsi="標楷體" w:hint="eastAsia"/>
          <w:kern w:val="0"/>
          <w:sz w:val="26"/>
          <w:szCs w:val="26"/>
        </w:rPr>
        <w:t>經中心教</w:t>
      </w:r>
      <w:proofErr w:type="gramStart"/>
      <w:r>
        <w:rPr>
          <w:rFonts w:eastAsia="標楷體" w:hAnsi="標楷體" w:hint="eastAsia"/>
          <w:kern w:val="0"/>
          <w:sz w:val="26"/>
          <w:szCs w:val="26"/>
        </w:rPr>
        <w:t>評會</w:t>
      </w:r>
      <w:r w:rsidRPr="001A1089">
        <w:rPr>
          <w:rFonts w:eastAsia="標楷體" w:hAnsi="標楷體" w:hint="eastAsia"/>
          <w:kern w:val="0"/>
          <w:sz w:val="26"/>
          <w:szCs w:val="26"/>
        </w:rPr>
        <w:t>初評</w:t>
      </w:r>
      <w:proofErr w:type="gramEnd"/>
      <w:r w:rsidRPr="001A1089">
        <w:rPr>
          <w:rFonts w:eastAsia="標楷體" w:hAnsi="標楷體" w:hint="eastAsia"/>
          <w:kern w:val="0"/>
          <w:sz w:val="26"/>
          <w:szCs w:val="26"/>
        </w:rPr>
        <w:t>教學服務成績達七十分以上並符合本校非屬</w:t>
      </w:r>
      <w:proofErr w:type="gramStart"/>
      <w:r w:rsidRPr="001A1089">
        <w:rPr>
          <w:rFonts w:eastAsia="標楷體" w:hAnsi="標楷體" w:hint="eastAsia"/>
          <w:kern w:val="0"/>
          <w:sz w:val="26"/>
          <w:szCs w:val="26"/>
        </w:rPr>
        <w:t>系所院級</w:t>
      </w:r>
      <w:proofErr w:type="gramEnd"/>
      <w:r w:rsidRPr="001A1089">
        <w:rPr>
          <w:rFonts w:eastAsia="標楷體" w:hAnsi="標楷體" w:hint="eastAsia"/>
          <w:kern w:val="0"/>
          <w:sz w:val="26"/>
          <w:szCs w:val="26"/>
        </w:rPr>
        <w:t>教師聘任及升等審查</w:t>
      </w:r>
      <w:r>
        <w:rPr>
          <w:rFonts w:eastAsia="標楷體" w:hAnsi="標楷體" w:hint="eastAsia"/>
          <w:kern w:val="0"/>
          <w:sz w:val="26"/>
          <w:szCs w:val="26"/>
        </w:rPr>
        <w:t>準則第十二條及第十三條規定之審查標準，同意申請升等者，應於每年</w:t>
      </w:r>
      <w:r w:rsidRPr="0079124B">
        <w:rPr>
          <w:rFonts w:eastAsia="標楷體" w:hAnsi="標楷體" w:hint="eastAsia"/>
          <w:kern w:val="0"/>
          <w:sz w:val="26"/>
          <w:szCs w:val="26"/>
        </w:rPr>
        <w:t>二</w:t>
      </w:r>
      <w:r>
        <w:rPr>
          <w:rFonts w:eastAsia="標楷體" w:hAnsi="標楷體" w:hint="eastAsia"/>
          <w:kern w:val="0"/>
          <w:sz w:val="26"/>
          <w:szCs w:val="26"/>
        </w:rPr>
        <w:t>月</w:t>
      </w:r>
      <w:r w:rsidRPr="0079124B">
        <w:rPr>
          <w:rFonts w:eastAsia="標楷體" w:hAnsi="標楷體" w:hint="eastAsia"/>
          <w:kern w:val="0"/>
          <w:sz w:val="26"/>
          <w:szCs w:val="26"/>
        </w:rPr>
        <w:t>十五</w:t>
      </w:r>
      <w:r>
        <w:rPr>
          <w:rFonts w:eastAsia="標楷體" w:hAnsi="標楷體" w:hint="eastAsia"/>
          <w:kern w:val="0"/>
          <w:sz w:val="26"/>
          <w:szCs w:val="26"/>
        </w:rPr>
        <w:t>日（</w:t>
      </w:r>
      <w:r w:rsidRPr="0079124B">
        <w:rPr>
          <w:rFonts w:eastAsia="標楷體" w:hAnsi="標楷體" w:hint="eastAsia"/>
          <w:kern w:val="0"/>
          <w:sz w:val="26"/>
          <w:szCs w:val="26"/>
        </w:rPr>
        <w:t>八</w:t>
      </w:r>
      <w:r>
        <w:rPr>
          <w:rFonts w:eastAsia="標楷體" w:hAnsi="標楷體" w:hint="eastAsia"/>
          <w:kern w:val="0"/>
          <w:sz w:val="26"/>
          <w:szCs w:val="26"/>
        </w:rPr>
        <w:t>月</w:t>
      </w:r>
      <w:r w:rsidRPr="0079124B">
        <w:rPr>
          <w:rFonts w:eastAsia="標楷體" w:hAnsi="標楷體" w:hint="eastAsia"/>
          <w:kern w:val="0"/>
          <w:sz w:val="26"/>
          <w:szCs w:val="26"/>
        </w:rPr>
        <w:t>十五</w:t>
      </w:r>
      <w:r w:rsidRPr="001A1089">
        <w:rPr>
          <w:rFonts w:eastAsia="標楷體" w:hAnsi="標楷體" w:hint="eastAsia"/>
          <w:kern w:val="0"/>
          <w:sz w:val="26"/>
          <w:szCs w:val="26"/>
        </w:rPr>
        <w:t>日）前將其升等</w:t>
      </w:r>
      <w:r w:rsidRPr="0079124B">
        <w:rPr>
          <w:rFonts w:eastAsia="標楷體" w:hAnsi="標楷體" w:hint="eastAsia"/>
          <w:color w:val="FF0000"/>
          <w:kern w:val="0"/>
          <w:sz w:val="26"/>
          <w:szCs w:val="26"/>
          <w:u w:val="single"/>
        </w:rPr>
        <w:t>代表作及參考作</w:t>
      </w:r>
      <w:r w:rsidRPr="001A1089">
        <w:rPr>
          <w:rFonts w:eastAsia="標楷體" w:hAnsi="標楷體" w:hint="eastAsia"/>
          <w:kern w:val="0"/>
          <w:sz w:val="26"/>
          <w:szCs w:val="26"/>
        </w:rPr>
        <w:t>(</w:t>
      </w:r>
      <w:r w:rsidRPr="001A1089">
        <w:rPr>
          <w:rFonts w:eastAsia="標楷體" w:hAnsi="標楷體" w:hint="eastAsia"/>
          <w:kern w:val="0"/>
          <w:sz w:val="26"/>
          <w:szCs w:val="26"/>
        </w:rPr>
        <w:t>各一式三份；國外修業期限未達規定但已達三分之二者或藝術類科以作品或成就證明送審者，各一式四份</w:t>
      </w:r>
      <w:r w:rsidRPr="001A1089">
        <w:rPr>
          <w:rFonts w:eastAsia="標楷體" w:hAnsi="標楷體" w:hint="eastAsia"/>
          <w:kern w:val="0"/>
          <w:sz w:val="26"/>
          <w:szCs w:val="26"/>
        </w:rPr>
        <w:t>)</w:t>
      </w:r>
      <w:r w:rsidRPr="001A1089">
        <w:rPr>
          <w:rFonts w:eastAsia="標楷體" w:hAnsi="標楷體" w:hint="eastAsia"/>
          <w:kern w:val="0"/>
          <w:sz w:val="26"/>
          <w:szCs w:val="26"/>
        </w:rPr>
        <w:t>，連同教師資格審查履歷表、教學服務成績考核評分表及其佐證資料送非屬系</w:t>
      </w:r>
      <w:proofErr w:type="gramStart"/>
      <w:r w:rsidRPr="001A1089">
        <w:rPr>
          <w:rFonts w:eastAsia="標楷體" w:hAnsi="標楷體" w:hint="eastAsia"/>
          <w:kern w:val="0"/>
          <w:sz w:val="26"/>
          <w:szCs w:val="26"/>
        </w:rPr>
        <w:t>所院級教</w:t>
      </w:r>
      <w:proofErr w:type="gramEnd"/>
      <w:r w:rsidRPr="001A1089">
        <w:rPr>
          <w:rFonts w:eastAsia="標楷體" w:hAnsi="標楷體" w:hint="eastAsia"/>
          <w:kern w:val="0"/>
          <w:sz w:val="26"/>
          <w:szCs w:val="26"/>
        </w:rPr>
        <w:t>評會審查。</w:t>
      </w:r>
    </w:p>
    <w:bookmarkEnd w:id="8"/>
    <w:bookmarkEnd w:id="9"/>
    <w:p w:rsidR="00134B31" w:rsidRDefault="00134B31" w:rsidP="00134B31">
      <w:pPr>
        <w:numPr>
          <w:ilvl w:val="0"/>
          <w:numId w:val="3"/>
        </w:numPr>
        <w:autoSpaceDE w:val="0"/>
        <w:autoSpaceDN w:val="0"/>
        <w:adjustRightInd w:val="0"/>
        <w:ind w:left="991" w:hangingChars="381" w:hanging="991"/>
        <w:jc w:val="both"/>
        <w:rPr>
          <w:rFonts w:eastAsia="標楷體" w:hAnsi="標楷體"/>
          <w:kern w:val="0"/>
          <w:sz w:val="26"/>
          <w:szCs w:val="26"/>
        </w:rPr>
      </w:pPr>
      <w:r w:rsidRPr="006E40E6">
        <w:rPr>
          <w:rFonts w:eastAsia="標楷體" w:hAnsi="標楷體" w:hint="eastAsia"/>
          <w:kern w:val="0"/>
          <w:sz w:val="26"/>
          <w:szCs w:val="26"/>
        </w:rPr>
        <w:t>申請升等之教師對本中心教評會審議結果，如認為違法或不當，致損害其權益時得向本校教師申訴評議委員會提出書面申訴。本校教師申訴評議委員會評議結果認為申訴有理由時，應送請本中心教評會重行審議。如該教評會之決議，申請人仍不服時，除得向本校教師申訴評議委員會提起申訴，亦得</w:t>
      </w:r>
      <w:proofErr w:type="gramStart"/>
      <w:r w:rsidRPr="006E40E6">
        <w:rPr>
          <w:rFonts w:eastAsia="標楷體" w:hAnsi="標楷體" w:hint="eastAsia"/>
          <w:kern w:val="0"/>
          <w:sz w:val="26"/>
          <w:szCs w:val="26"/>
        </w:rPr>
        <w:t>逕</w:t>
      </w:r>
      <w:proofErr w:type="gramEnd"/>
      <w:r w:rsidRPr="006E40E6">
        <w:rPr>
          <w:rFonts w:eastAsia="標楷體" w:hAnsi="標楷體" w:hint="eastAsia"/>
          <w:kern w:val="0"/>
          <w:sz w:val="26"/>
          <w:szCs w:val="26"/>
        </w:rPr>
        <w:t>依訴願法，提起訴願。</w:t>
      </w:r>
    </w:p>
    <w:p w:rsidR="00134B31" w:rsidRDefault="00134B31" w:rsidP="00134B31">
      <w:pPr>
        <w:numPr>
          <w:ilvl w:val="0"/>
          <w:numId w:val="3"/>
        </w:numPr>
        <w:autoSpaceDE w:val="0"/>
        <w:autoSpaceDN w:val="0"/>
        <w:adjustRightInd w:val="0"/>
        <w:ind w:left="991" w:hangingChars="381" w:hanging="991"/>
        <w:jc w:val="both"/>
        <w:rPr>
          <w:rFonts w:eastAsia="標楷體" w:hAnsi="標楷體"/>
          <w:kern w:val="0"/>
          <w:sz w:val="26"/>
          <w:szCs w:val="26"/>
        </w:rPr>
      </w:pPr>
      <w:r>
        <w:rPr>
          <w:rFonts w:eastAsia="標楷體" w:hAnsi="標楷體" w:hint="eastAsia"/>
          <w:kern w:val="0"/>
          <w:sz w:val="26"/>
          <w:szCs w:val="26"/>
        </w:rPr>
        <w:t>本要點如有未盡事宜</w:t>
      </w:r>
      <w:r w:rsidRPr="00757C69">
        <w:rPr>
          <w:rFonts w:eastAsia="標楷體" w:hAnsi="標楷體" w:hint="eastAsia"/>
          <w:kern w:val="0"/>
          <w:sz w:val="26"/>
          <w:szCs w:val="26"/>
        </w:rPr>
        <w:t>，悉依相關規定辦理。</w:t>
      </w:r>
    </w:p>
    <w:p w:rsidR="00134B31" w:rsidRPr="001E14F7" w:rsidRDefault="00134B31" w:rsidP="00134B31">
      <w:pPr>
        <w:numPr>
          <w:ilvl w:val="0"/>
          <w:numId w:val="3"/>
        </w:numPr>
        <w:autoSpaceDE w:val="0"/>
        <w:autoSpaceDN w:val="0"/>
        <w:adjustRightInd w:val="0"/>
        <w:ind w:left="991" w:hangingChars="381" w:hanging="991"/>
        <w:jc w:val="both"/>
        <w:rPr>
          <w:rFonts w:eastAsia="標楷體" w:hAnsi="標楷體"/>
          <w:kern w:val="0"/>
          <w:sz w:val="26"/>
          <w:szCs w:val="26"/>
        </w:rPr>
      </w:pPr>
      <w:r>
        <w:rPr>
          <w:rFonts w:eastAsia="標楷體" w:hAnsi="標楷體" w:hint="eastAsia"/>
          <w:kern w:val="0"/>
          <w:sz w:val="26"/>
          <w:szCs w:val="26"/>
        </w:rPr>
        <w:t>本要點</w:t>
      </w:r>
      <w:r w:rsidRPr="001E14F7">
        <w:rPr>
          <w:rFonts w:eastAsia="標楷體" w:hAnsi="標楷體" w:hint="eastAsia"/>
          <w:kern w:val="0"/>
          <w:sz w:val="26"/>
          <w:szCs w:val="26"/>
        </w:rPr>
        <w:t>經中心會議通過陳學術副校長核定後實施，並送人事室備案。</w:t>
      </w:r>
    </w:p>
    <w:p w:rsidR="007977A5" w:rsidRPr="00125E12" w:rsidRDefault="000531CF" w:rsidP="00125E12">
      <w:pPr>
        <w:widowControl/>
        <w:rPr>
          <w:rFonts w:ascii="標楷體" w:eastAsia="標楷體" w:hAnsi="標楷體"/>
          <w:b/>
          <w:sz w:val="32"/>
          <w:szCs w:val="32"/>
        </w:rPr>
      </w:pPr>
    </w:p>
    <w:sectPr w:rsidR="007977A5" w:rsidRPr="00125E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7E" w:rsidRDefault="00B95A7E" w:rsidP="00B95A7E">
      <w:r>
        <w:separator/>
      </w:r>
    </w:p>
  </w:endnote>
  <w:endnote w:type="continuationSeparator" w:id="0">
    <w:p w:rsidR="00B95A7E" w:rsidRDefault="00B95A7E" w:rsidP="00B9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7E" w:rsidRDefault="00B95A7E" w:rsidP="00B95A7E">
      <w:r>
        <w:separator/>
      </w:r>
    </w:p>
  </w:footnote>
  <w:footnote w:type="continuationSeparator" w:id="0">
    <w:p w:rsidR="00B95A7E" w:rsidRDefault="00B95A7E" w:rsidP="00B95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7EFF"/>
    <w:multiLevelType w:val="hybridMultilevel"/>
    <w:tmpl w:val="80407FAA"/>
    <w:lvl w:ilvl="0" w:tplc="13F88F5E">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34316888"/>
    <w:multiLevelType w:val="hybridMultilevel"/>
    <w:tmpl w:val="2E60A53C"/>
    <w:lvl w:ilvl="0" w:tplc="5C64D760">
      <w:start w:val="1"/>
      <w:numFmt w:val="taiwaneseCountingThousand"/>
      <w:lvlText w:val="(%1)"/>
      <w:lvlJc w:val="left"/>
      <w:pPr>
        <w:ind w:left="1313" w:hanging="360"/>
      </w:pPr>
      <w:rPr>
        <w:rFonts w:hint="default"/>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2">
    <w:nsid w:val="42F7360B"/>
    <w:multiLevelType w:val="hybridMultilevel"/>
    <w:tmpl w:val="C83C1B6A"/>
    <w:lvl w:ilvl="0" w:tplc="53462E84">
      <w:start w:val="14"/>
      <w:numFmt w:val="taiwaneseCountingThousand"/>
      <w:lvlText w:val="第%1條"/>
      <w:lvlJc w:val="left"/>
      <w:pPr>
        <w:ind w:left="1410" w:hanging="1410"/>
      </w:pPr>
      <w:rPr>
        <w:rFonts w:hint="default"/>
      </w:rPr>
    </w:lvl>
    <w:lvl w:ilvl="1" w:tplc="04090019" w:tentative="1">
      <w:start w:val="1"/>
      <w:numFmt w:val="ideographTraditional"/>
      <w:lvlText w:val="%2、"/>
      <w:lvlJc w:val="left"/>
      <w:pPr>
        <w:ind w:left="-450" w:hanging="480"/>
      </w:pPr>
    </w:lvl>
    <w:lvl w:ilvl="2" w:tplc="0409001B" w:tentative="1">
      <w:start w:val="1"/>
      <w:numFmt w:val="lowerRoman"/>
      <w:lvlText w:val="%3."/>
      <w:lvlJc w:val="right"/>
      <w:pPr>
        <w:ind w:left="30" w:hanging="480"/>
      </w:pPr>
    </w:lvl>
    <w:lvl w:ilvl="3" w:tplc="0409000F" w:tentative="1">
      <w:start w:val="1"/>
      <w:numFmt w:val="decimal"/>
      <w:lvlText w:val="%4."/>
      <w:lvlJc w:val="left"/>
      <w:pPr>
        <w:ind w:left="510" w:hanging="480"/>
      </w:pPr>
    </w:lvl>
    <w:lvl w:ilvl="4" w:tplc="04090019" w:tentative="1">
      <w:start w:val="1"/>
      <w:numFmt w:val="ideographTraditional"/>
      <w:lvlText w:val="%5、"/>
      <w:lvlJc w:val="left"/>
      <w:pPr>
        <w:ind w:left="990" w:hanging="480"/>
      </w:pPr>
    </w:lvl>
    <w:lvl w:ilvl="5" w:tplc="0409001B" w:tentative="1">
      <w:start w:val="1"/>
      <w:numFmt w:val="lowerRoman"/>
      <w:lvlText w:val="%6."/>
      <w:lvlJc w:val="right"/>
      <w:pPr>
        <w:ind w:left="1470" w:hanging="480"/>
      </w:pPr>
    </w:lvl>
    <w:lvl w:ilvl="6" w:tplc="0409000F" w:tentative="1">
      <w:start w:val="1"/>
      <w:numFmt w:val="decimal"/>
      <w:lvlText w:val="%7."/>
      <w:lvlJc w:val="left"/>
      <w:pPr>
        <w:ind w:left="1950" w:hanging="480"/>
      </w:pPr>
    </w:lvl>
    <w:lvl w:ilvl="7" w:tplc="04090019" w:tentative="1">
      <w:start w:val="1"/>
      <w:numFmt w:val="ideographTraditional"/>
      <w:lvlText w:val="%8、"/>
      <w:lvlJc w:val="left"/>
      <w:pPr>
        <w:ind w:left="2430" w:hanging="480"/>
      </w:pPr>
    </w:lvl>
    <w:lvl w:ilvl="8" w:tplc="0409001B" w:tentative="1">
      <w:start w:val="1"/>
      <w:numFmt w:val="lowerRoman"/>
      <w:lvlText w:val="%9."/>
      <w:lvlJc w:val="right"/>
      <w:pPr>
        <w:ind w:left="2910" w:hanging="480"/>
      </w:pPr>
    </w:lvl>
  </w:abstractNum>
  <w:abstractNum w:abstractNumId="3">
    <w:nsid w:val="4B3C0501"/>
    <w:multiLevelType w:val="hybridMultilevel"/>
    <w:tmpl w:val="66A2E160"/>
    <w:lvl w:ilvl="0" w:tplc="BB6EE55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813E4E"/>
    <w:multiLevelType w:val="hybridMultilevel"/>
    <w:tmpl w:val="FF1805B8"/>
    <w:lvl w:ilvl="0" w:tplc="B308CB7C">
      <w:start w:val="1"/>
      <w:numFmt w:val="taiwaneseCountingThousand"/>
      <w:lvlText w:val="(%1)"/>
      <w:lvlJc w:val="left"/>
      <w:pPr>
        <w:ind w:left="1017" w:hanging="45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5BA80210"/>
    <w:multiLevelType w:val="hybridMultilevel"/>
    <w:tmpl w:val="478E74C2"/>
    <w:lvl w:ilvl="0" w:tplc="D3DE7F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31"/>
    <w:rsid w:val="000531CF"/>
    <w:rsid w:val="00125E12"/>
    <w:rsid w:val="00134B31"/>
    <w:rsid w:val="0033378E"/>
    <w:rsid w:val="00A56452"/>
    <w:rsid w:val="00B52E8F"/>
    <w:rsid w:val="00B95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A7E"/>
    <w:pPr>
      <w:tabs>
        <w:tab w:val="center" w:pos="4153"/>
        <w:tab w:val="right" w:pos="8306"/>
      </w:tabs>
      <w:snapToGrid w:val="0"/>
    </w:pPr>
    <w:rPr>
      <w:sz w:val="20"/>
      <w:szCs w:val="20"/>
    </w:rPr>
  </w:style>
  <w:style w:type="character" w:customStyle="1" w:styleId="a4">
    <w:name w:val="頁首 字元"/>
    <w:basedOn w:val="a0"/>
    <w:link w:val="a3"/>
    <w:uiPriority w:val="99"/>
    <w:rsid w:val="00B95A7E"/>
    <w:rPr>
      <w:rFonts w:ascii="Times New Roman" w:eastAsia="新細明體" w:hAnsi="Times New Roman" w:cs="Times New Roman"/>
      <w:sz w:val="20"/>
      <w:szCs w:val="20"/>
    </w:rPr>
  </w:style>
  <w:style w:type="paragraph" w:styleId="a5">
    <w:name w:val="footer"/>
    <w:basedOn w:val="a"/>
    <w:link w:val="a6"/>
    <w:uiPriority w:val="99"/>
    <w:unhideWhenUsed/>
    <w:rsid w:val="00B95A7E"/>
    <w:pPr>
      <w:tabs>
        <w:tab w:val="center" w:pos="4153"/>
        <w:tab w:val="right" w:pos="8306"/>
      </w:tabs>
      <w:snapToGrid w:val="0"/>
    </w:pPr>
    <w:rPr>
      <w:sz w:val="20"/>
      <w:szCs w:val="20"/>
    </w:rPr>
  </w:style>
  <w:style w:type="character" w:customStyle="1" w:styleId="a6">
    <w:name w:val="頁尾 字元"/>
    <w:basedOn w:val="a0"/>
    <w:link w:val="a5"/>
    <w:uiPriority w:val="99"/>
    <w:rsid w:val="00B95A7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A7E"/>
    <w:pPr>
      <w:tabs>
        <w:tab w:val="center" w:pos="4153"/>
        <w:tab w:val="right" w:pos="8306"/>
      </w:tabs>
      <w:snapToGrid w:val="0"/>
    </w:pPr>
    <w:rPr>
      <w:sz w:val="20"/>
      <w:szCs w:val="20"/>
    </w:rPr>
  </w:style>
  <w:style w:type="character" w:customStyle="1" w:styleId="a4">
    <w:name w:val="頁首 字元"/>
    <w:basedOn w:val="a0"/>
    <w:link w:val="a3"/>
    <w:uiPriority w:val="99"/>
    <w:rsid w:val="00B95A7E"/>
    <w:rPr>
      <w:rFonts w:ascii="Times New Roman" w:eastAsia="新細明體" w:hAnsi="Times New Roman" w:cs="Times New Roman"/>
      <w:sz w:val="20"/>
      <w:szCs w:val="20"/>
    </w:rPr>
  </w:style>
  <w:style w:type="paragraph" w:styleId="a5">
    <w:name w:val="footer"/>
    <w:basedOn w:val="a"/>
    <w:link w:val="a6"/>
    <w:uiPriority w:val="99"/>
    <w:unhideWhenUsed/>
    <w:rsid w:val="00B95A7E"/>
    <w:pPr>
      <w:tabs>
        <w:tab w:val="center" w:pos="4153"/>
        <w:tab w:val="right" w:pos="8306"/>
      </w:tabs>
      <w:snapToGrid w:val="0"/>
    </w:pPr>
    <w:rPr>
      <w:sz w:val="20"/>
      <w:szCs w:val="20"/>
    </w:rPr>
  </w:style>
  <w:style w:type="character" w:customStyle="1" w:styleId="a6">
    <w:name w:val="頁尾 字元"/>
    <w:basedOn w:val="a0"/>
    <w:link w:val="a5"/>
    <w:uiPriority w:val="99"/>
    <w:rsid w:val="00B95A7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4</DocSecurity>
  <Lines>12</Lines>
  <Paragraphs>3</Paragraphs>
  <ScaleCrop>false</ScaleCrop>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鍾秋華-emily</dc:creator>
  <cp:lastModifiedBy>鍾秋華-emily</cp:lastModifiedBy>
  <cp:revision>2</cp:revision>
  <dcterms:created xsi:type="dcterms:W3CDTF">2017-10-24T03:27:00Z</dcterms:created>
  <dcterms:modified xsi:type="dcterms:W3CDTF">2017-10-24T03:27:00Z</dcterms:modified>
</cp:coreProperties>
</file>